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8D9B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t>Република Србија</w:t>
      </w:r>
    </w:p>
    <w:p w14:paraId="304118A0" w14:textId="77777777" w:rsidR="002669DE" w:rsidRPr="00CE2CF6" w:rsidRDefault="002669DE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</w:p>
    <w:p w14:paraId="4C5A7722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 w:rsidRPr="00CE2CF6">
        <w:rPr>
          <w:noProof/>
          <w:lang w:val="sr-Cyrl-RS"/>
        </w:rPr>
        <w:drawing>
          <wp:inline distT="0" distB="0" distL="0" distR="0" wp14:anchorId="4217792C" wp14:editId="19905FA2">
            <wp:extent cx="4667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385B" w14:textId="77777777" w:rsidR="002669DE" w:rsidRPr="00CE2CF6" w:rsidRDefault="002669DE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</w:p>
    <w:p w14:paraId="2213CF35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t>МИНИСТАРСТВО ТУРИЗМА И ОМЛАДИНЕ</w:t>
      </w:r>
    </w:p>
    <w:p w14:paraId="6D00D70E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</w:p>
    <w:p w14:paraId="544713C5" w14:textId="77777777" w:rsidR="00E35535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lang w:val="sr-Cyrl-RS"/>
        </w:rPr>
      </w:pPr>
      <w:r w:rsidRPr="00CE2CF6">
        <w:rPr>
          <w:lang w:val="sr-Cyrl-RS"/>
        </w:rPr>
        <w:t>Расписује</w:t>
      </w:r>
    </w:p>
    <w:p w14:paraId="1530984D" w14:textId="77777777" w:rsidR="002669DE" w:rsidRPr="00CE2CF6" w:rsidRDefault="002669DE" w:rsidP="00E57B03">
      <w:pPr>
        <w:autoSpaceDE w:val="0"/>
        <w:autoSpaceDN w:val="0"/>
        <w:adjustRightInd w:val="0"/>
        <w:spacing w:line="276" w:lineRule="auto"/>
        <w:rPr>
          <w:lang w:val="sr-Cyrl-RS"/>
        </w:rPr>
      </w:pPr>
    </w:p>
    <w:p w14:paraId="044F82F1" w14:textId="77777777" w:rsidR="00453923" w:rsidRPr="00CE2CF6" w:rsidRDefault="001071EB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t>ЈАВНИ ПОЗИВ</w:t>
      </w:r>
    </w:p>
    <w:p w14:paraId="795EF72B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</w:p>
    <w:p w14:paraId="70A0D450" w14:textId="77777777" w:rsidR="00E57B03" w:rsidRPr="00CE2CF6" w:rsidRDefault="00453923" w:rsidP="00703A37">
      <w:pPr>
        <w:spacing w:line="276" w:lineRule="auto"/>
        <w:jc w:val="center"/>
        <w:rPr>
          <w:rFonts w:eastAsiaTheme="minorHAnsi"/>
          <w:lang w:val="sr-Cyrl-RS"/>
        </w:rPr>
      </w:pPr>
      <w:r w:rsidRPr="00CE2CF6">
        <w:rPr>
          <w:lang w:val="sr-Cyrl-RS"/>
        </w:rPr>
        <w:t xml:space="preserve">ЗА </w:t>
      </w:r>
      <w:r w:rsidRPr="00CE2CF6">
        <w:rPr>
          <w:bCs/>
          <w:lang w:val="sr-Cyrl-RS"/>
        </w:rPr>
        <w:t xml:space="preserve">ДОДЕЛУ </w:t>
      </w:r>
      <w:r w:rsidRPr="00CE2CF6">
        <w:rPr>
          <w:rFonts w:eastAsiaTheme="minorHAnsi"/>
          <w:lang w:val="sr-Cyrl-RS"/>
        </w:rPr>
        <w:t>СРЕДСТАВА ПОДСТИЦА</w:t>
      </w:r>
      <w:r w:rsidR="003354AA" w:rsidRPr="00CE2CF6">
        <w:rPr>
          <w:rFonts w:eastAsiaTheme="minorHAnsi"/>
          <w:lang w:val="sr-Cyrl-RS"/>
        </w:rPr>
        <w:t>ЈА</w:t>
      </w:r>
      <w:r w:rsidRPr="00CE2CF6">
        <w:rPr>
          <w:rFonts w:eastAsiaTheme="minorHAnsi"/>
          <w:lang w:val="sr-Cyrl-RS"/>
        </w:rPr>
        <w:t xml:space="preserve"> </w:t>
      </w:r>
    </w:p>
    <w:p w14:paraId="4B3D1F7C" w14:textId="64FDEFE1" w:rsidR="00DF0F57" w:rsidRPr="00CE2CF6" w:rsidRDefault="00DF0F57" w:rsidP="00E57B03">
      <w:pPr>
        <w:spacing w:line="276" w:lineRule="auto"/>
        <w:jc w:val="center"/>
        <w:rPr>
          <w:rFonts w:eastAsiaTheme="minorHAnsi"/>
          <w:lang w:val="sr-Cyrl-RS"/>
        </w:rPr>
      </w:pPr>
      <w:r w:rsidRPr="00CE2CF6">
        <w:rPr>
          <w:rFonts w:eastAsiaTheme="minorHAnsi"/>
          <w:lang w:val="sr-Cyrl-RS"/>
        </w:rPr>
        <w:t xml:space="preserve">РАДИ </w:t>
      </w:r>
      <w:r w:rsidR="00453923" w:rsidRPr="00CE2CF6">
        <w:rPr>
          <w:rFonts w:eastAsiaTheme="minorHAnsi"/>
          <w:lang w:val="sr-Cyrl-RS"/>
        </w:rPr>
        <w:t xml:space="preserve">УНАПРЕЂЕЊА </w:t>
      </w:r>
      <w:r w:rsidRPr="00CE2CF6">
        <w:rPr>
          <w:rFonts w:eastAsiaTheme="minorEastAsia"/>
          <w:lang w:val="sr-Cyrl-RS"/>
        </w:rPr>
        <w:t>КВАЛИТЕТА ПРУЖАЊА УСЛУГА ХОТЕЛСКОГ СМЕШТАЈА</w:t>
      </w:r>
    </w:p>
    <w:p w14:paraId="02EDC36C" w14:textId="77777777" w:rsidR="00453923" w:rsidRPr="00CE2CF6" w:rsidRDefault="00453923" w:rsidP="00703A37">
      <w:pPr>
        <w:spacing w:line="276" w:lineRule="auto"/>
        <w:jc w:val="center"/>
        <w:rPr>
          <w:lang w:val="sr-Cyrl-RS"/>
        </w:rPr>
      </w:pPr>
    </w:p>
    <w:p w14:paraId="766EC4DF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lang w:val="sr-Cyrl-RS"/>
        </w:rPr>
      </w:pPr>
      <w:r w:rsidRPr="00CE2CF6">
        <w:rPr>
          <w:b/>
          <w:lang w:val="sr-Cyrl-RS"/>
        </w:rPr>
        <w:t>1. Предмет</w:t>
      </w:r>
    </w:p>
    <w:p w14:paraId="12839986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ind w:left="720"/>
        <w:rPr>
          <w:lang w:val="sr-Cyrl-RS"/>
        </w:rPr>
      </w:pPr>
    </w:p>
    <w:p w14:paraId="5DA5737C" w14:textId="0BA613EA" w:rsidR="00453923" w:rsidRPr="00CE2CF6" w:rsidRDefault="00453923" w:rsidP="00CC3C37">
      <w:pPr>
        <w:spacing w:line="276" w:lineRule="auto"/>
        <w:jc w:val="both"/>
        <w:rPr>
          <w:bCs/>
          <w:lang w:val="sr-Cyrl-RS"/>
        </w:rPr>
      </w:pPr>
      <w:r w:rsidRPr="00CE2CF6">
        <w:rPr>
          <w:lang w:val="sr-Cyrl-RS"/>
        </w:rPr>
        <w:t xml:space="preserve"> </w:t>
      </w:r>
      <w:r w:rsidR="002B6A92" w:rsidRPr="00CE2CF6">
        <w:rPr>
          <w:lang w:val="sr-Cyrl-RS"/>
        </w:rPr>
        <w:tab/>
      </w:r>
      <w:r w:rsidRPr="00CE2CF6">
        <w:rPr>
          <w:color w:val="000000"/>
          <w:lang w:val="sr-Cyrl-RS"/>
        </w:rPr>
        <w:t>Министарство туризма и омладине</w:t>
      </w:r>
      <w:r w:rsidR="00023196" w:rsidRPr="00CE2CF6">
        <w:rPr>
          <w:color w:val="000000"/>
          <w:lang w:val="sr-Cyrl-RS"/>
        </w:rPr>
        <w:t xml:space="preserve"> (у даљем тексту: Министарство)</w:t>
      </w:r>
      <w:r w:rsidRPr="00CE2CF6">
        <w:rPr>
          <w:color w:val="000000"/>
          <w:lang w:val="sr-Cyrl-RS"/>
        </w:rPr>
        <w:t xml:space="preserve"> расписује </w:t>
      </w:r>
      <w:r w:rsidR="001B4A69" w:rsidRPr="00CE2CF6">
        <w:rPr>
          <w:color w:val="000000"/>
          <w:lang w:val="sr-Cyrl-RS"/>
        </w:rPr>
        <w:t>Ј</w:t>
      </w:r>
      <w:r w:rsidRPr="00CE2CF6">
        <w:rPr>
          <w:color w:val="000000"/>
          <w:lang w:val="sr-Cyrl-RS"/>
        </w:rPr>
        <w:t xml:space="preserve">авни </w:t>
      </w:r>
      <w:r w:rsidR="00E332D3" w:rsidRPr="00CE2CF6">
        <w:rPr>
          <w:color w:val="000000"/>
          <w:lang w:val="sr-Cyrl-RS"/>
        </w:rPr>
        <w:t>позив</w:t>
      </w:r>
      <w:r w:rsidRPr="00CE2CF6">
        <w:rPr>
          <w:lang w:val="sr-Cyrl-RS"/>
        </w:rPr>
        <w:t xml:space="preserve"> за доделу средстава </w:t>
      </w:r>
      <w:r w:rsidR="00C37106" w:rsidRPr="00CE2CF6">
        <w:rPr>
          <w:lang w:val="sr-Cyrl-RS"/>
        </w:rPr>
        <w:t>подстицаја</w:t>
      </w:r>
      <w:r w:rsidR="00DF0F57" w:rsidRPr="00CE2CF6">
        <w:rPr>
          <w:rFonts w:eastAsiaTheme="minorEastAsia"/>
          <w:lang w:val="sr-Cyrl-RS"/>
        </w:rPr>
        <w:t xml:space="preserve"> ради унапређења квалит</w:t>
      </w:r>
      <w:r w:rsidR="00C37106" w:rsidRPr="00CE2CF6">
        <w:rPr>
          <w:rFonts w:eastAsiaTheme="minorEastAsia"/>
          <w:lang w:val="sr-Cyrl-RS"/>
        </w:rPr>
        <w:t>е</w:t>
      </w:r>
      <w:r w:rsidR="00DF0F57" w:rsidRPr="00CE2CF6">
        <w:rPr>
          <w:rFonts w:eastAsiaTheme="minorEastAsia"/>
          <w:lang w:val="sr-Cyrl-RS"/>
        </w:rPr>
        <w:t xml:space="preserve">та пружања услуга хотелског смештаја </w:t>
      </w:r>
      <w:r w:rsidR="00DF0F57" w:rsidRPr="00CE2CF6">
        <w:rPr>
          <w:bCs/>
          <w:lang w:val="sr-Cyrl-RS"/>
        </w:rPr>
        <w:t>(у даљем тексту: средства подстицаја</w:t>
      </w:r>
      <w:r w:rsidR="001C4793" w:rsidRPr="00CE2CF6">
        <w:rPr>
          <w:bCs/>
          <w:lang w:val="sr-Cyrl-RS"/>
        </w:rPr>
        <w:t>),</w:t>
      </w:r>
      <w:r w:rsidRPr="00CE2CF6">
        <w:rPr>
          <w:lang w:val="sr-Cyrl-RS"/>
        </w:rPr>
        <w:t xml:space="preserve"> у складу </w:t>
      </w:r>
      <w:r w:rsidR="00DF0F57" w:rsidRPr="00CE2CF6">
        <w:rPr>
          <w:lang w:val="sr-Cyrl-RS"/>
        </w:rPr>
        <w:t xml:space="preserve">са </w:t>
      </w:r>
      <w:r w:rsidRPr="00CE2CF6">
        <w:rPr>
          <w:lang w:val="sr-Cyrl-RS"/>
        </w:rPr>
        <w:t xml:space="preserve">Уредбом </w:t>
      </w:r>
      <w:bookmarkStart w:id="0" w:name="_Hlk215312447"/>
      <w:r w:rsidR="00DF0F57" w:rsidRPr="00CE2CF6">
        <w:rPr>
          <w:rFonts w:eastAsiaTheme="minorEastAsia"/>
          <w:lang w:val="sr-Cyrl-RS"/>
        </w:rPr>
        <w:t>о условима, начину доделе и коришћења средстава подстицаја ради унапређења квалитета пружања услуга хотелског смештаја</w:t>
      </w:r>
      <w:bookmarkEnd w:id="0"/>
      <w:r w:rsidRPr="00CE2CF6">
        <w:rPr>
          <w:lang w:val="sr-Cyrl-RS"/>
        </w:rPr>
        <w:t xml:space="preserve"> („Службени гласник РС</w:t>
      </w:r>
      <w:r w:rsidR="003F4710" w:rsidRPr="00CE2CF6">
        <w:rPr>
          <w:lang w:val="sr-Cyrl-RS"/>
        </w:rPr>
        <w:t>”</w:t>
      </w:r>
      <w:r w:rsidRPr="00CE2CF6">
        <w:rPr>
          <w:lang w:val="sr-Cyrl-RS"/>
        </w:rPr>
        <w:t>, бр</w:t>
      </w:r>
      <w:r w:rsidR="002A3C83" w:rsidRPr="00CE2CF6">
        <w:rPr>
          <w:lang w:val="sr-Cyrl-RS"/>
        </w:rPr>
        <w:t xml:space="preserve">. </w:t>
      </w:r>
      <w:r w:rsidR="00B4268A" w:rsidRPr="00CE2CF6">
        <w:rPr>
          <w:lang w:val="sr-Cyrl-RS"/>
        </w:rPr>
        <w:t>118</w:t>
      </w:r>
      <w:r w:rsidR="00686756" w:rsidRPr="00CE2CF6">
        <w:rPr>
          <w:lang w:val="sr-Cyrl-RS"/>
        </w:rPr>
        <w:t>/25</w:t>
      </w:r>
      <w:r w:rsidR="005217BF" w:rsidRPr="00CE2CF6">
        <w:rPr>
          <w:lang w:val="sr-Cyrl-RS"/>
        </w:rPr>
        <w:t xml:space="preserve"> </w:t>
      </w:r>
      <w:r w:rsidR="00376402" w:rsidRPr="00CE2CF6">
        <w:rPr>
          <w:lang w:val="sr-Cyrl-RS"/>
        </w:rPr>
        <w:t xml:space="preserve">и 13/26 </w:t>
      </w:r>
      <w:r w:rsidR="003F4710" w:rsidRPr="00CE2CF6">
        <w:rPr>
          <w:lang w:val="sr-Cyrl-RS"/>
        </w:rPr>
        <w:t>-</w:t>
      </w:r>
      <w:r w:rsidR="005217BF" w:rsidRPr="00CE2CF6">
        <w:rPr>
          <w:lang w:val="sr-Cyrl-RS"/>
        </w:rPr>
        <w:t xml:space="preserve"> </w:t>
      </w:r>
      <w:r w:rsidR="003F4710" w:rsidRPr="00CE2CF6">
        <w:rPr>
          <w:lang w:val="sr-Cyrl-RS"/>
        </w:rPr>
        <w:t>у даљем тексту: Уредба</w:t>
      </w:r>
      <w:r w:rsidRPr="00CE2CF6">
        <w:rPr>
          <w:lang w:val="sr-Cyrl-RS"/>
        </w:rPr>
        <w:t>).</w:t>
      </w:r>
    </w:p>
    <w:p w14:paraId="2F4C32AA" w14:textId="77777777" w:rsidR="00453923" w:rsidRPr="00CE2CF6" w:rsidRDefault="00453923" w:rsidP="00703A37">
      <w:pPr>
        <w:spacing w:line="276" w:lineRule="auto"/>
        <w:jc w:val="both"/>
        <w:rPr>
          <w:lang w:val="sr-Cyrl-RS"/>
        </w:rPr>
      </w:pPr>
    </w:p>
    <w:p w14:paraId="19407CB3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t xml:space="preserve">2. </w:t>
      </w:r>
      <w:r w:rsidR="00E26B81" w:rsidRPr="00CE2CF6">
        <w:rPr>
          <w:b/>
          <w:bCs/>
          <w:lang w:val="sr-Cyrl-RS"/>
        </w:rPr>
        <w:t>Право на доделу средстава подстицајa</w:t>
      </w:r>
    </w:p>
    <w:p w14:paraId="59FCA9CE" w14:textId="77777777" w:rsidR="00781FFF" w:rsidRPr="00CE2CF6" w:rsidRDefault="00781FFF" w:rsidP="00703A37">
      <w:pPr>
        <w:spacing w:line="276" w:lineRule="auto"/>
        <w:jc w:val="both"/>
        <w:rPr>
          <w:lang w:val="sr-Cyrl-RS"/>
        </w:rPr>
      </w:pPr>
    </w:p>
    <w:p w14:paraId="7C51979B" w14:textId="4F1FBEA3" w:rsidR="00F315F2" w:rsidRPr="00CE2CF6" w:rsidRDefault="00874282" w:rsidP="006D37D9">
      <w:pPr>
        <w:spacing w:line="276" w:lineRule="auto"/>
        <w:ind w:firstLine="708"/>
        <w:contextualSpacing/>
        <w:jc w:val="both"/>
        <w:rPr>
          <w:lang w:val="sr-Cyrl-RS"/>
        </w:rPr>
      </w:pPr>
      <w:r w:rsidRPr="00CE2CF6">
        <w:rPr>
          <w:lang w:val="sr-Cyrl-RS"/>
        </w:rPr>
        <w:t>Право на доделу средстава подстицајa може да оствари учесник на тржишту</w:t>
      </w:r>
      <w:r w:rsidR="00CE2B47" w:rsidRPr="00CE2CF6">
        <w:rPr>
          <w:lang w:val="sr-Cyrl-RS"/>
        </w:rPr>
        <w:t xml:space="preserve"> </w:t>
      </w:r>
      <w:r w:rsidRPr="00CE2CF6">
        <w:rPr>
          <w:lang w:val="sr-Cyrl-RS"/>
        </w:rPr>
        <w:t>који намерава да реализује инвестициони пројекат оснивањем новог правног лица или огранка и проширењем капацитета постојећег правног лица, за нови угоститељски објекат</w:t>
      </w:r>
      <w:r w:rsidR="001C4793" w:rsidRPr="00CE2CF6">
        <w:rPr>
          <w:lang w:val="sr-Cyrl-RS"/>
        </w:rPr>
        <w:t xml:space="preserve"> (у даљем тексту: Корисник)</w:t>
      </w:r>
      <w:r w:rsidRPr="00CE2CF6">
        <w:rPr>
          <w:lang w:val="sr-Cyrl-RS"/>
        </w:rPr>
        <w:t>.</w:t>
      </w:r>
    </w:p>
    <w:p w14:paraId="44772C2A" w14:textId="77777777" w:rsidR="006D37D9" w:rsidRPr="00CE2CF6" w:rsidRDefault="006D37D9" w:rsidP="006D37D9">
      <w:pPr>
        <w:spacing w:line="276" w:lineRule="auto"/>
        <w:ind w:firstLine="708"/>
        <w:contextualSpacing/>
        <w:jc w:val="both"/>
        <w:rPr>
          <w:lang w:val="sr-Cyrl-RS"/>
        </w:rPr>
      </w:pPr>
    </w:p>
    <w:p w14:paraId="61321D3A" w14:textId="77777777" w:rsidR="00453923" w:rsidRPr="00CE2CF6" w:rsidRDefault="00453923" w:rsidP="00703A37">
      <w:pPr>
        <w:spacing w:line="276" w:lineRule="auto"/>
        <w:jc w:val="center"/>
        <w:rPr>
          <w:b/>
          <w:lang w:val="sr-Cyrl-RS"/>
        </w:rPr>
      </w:pPr>
      <w:r w:rsidRPr="00CE2CF6">
        <w:rPr>
          <w:b/>
          <w:lang w:val="sr-Cyrl-RS"/>
        </w:rPr>
        <w:t>3. Услови за остваривање права</w:t>
      </w:r>
      <w:r w:rsidR="0090664C" w:rsidRPr="00CE2CF6">
        <w:rPr>
          <w:b/>
          <w:lang w:val="sr-Cyrl-RS"/>
        </w:rPr>
        <w:t xml:space="preserve"> на доделу средстава подстицаја</w:t>
      </w:r>
    </w:p>
    <w:p w14:paraId="5A982717" w14:textId="77777777" w:rsidR="000F72E5" w:rsidRPr="00CE2CF6" w:rsidRDefault="000F72E5" w:rsidP="00703A37">
      <w:pPr>
        <w:pStyle w:val="ListParagraph"/>
        <w:spacing w:line="276" w:lineRule="auto"/>
        <w:ind w:left="2496" w:firstLine="336"/>
        <w:rPr>
          <w:b/>
          <w:lang w:val="sr-Cyrl-RS"/>
        </w:rPr>
      </w:pPr>
    </w:p>
    <w:p w14:paraId="1A208236" w14:textId="77777777" w:rsidR="009A06B1" w:rsidRPr="00CE2CF6" w:rsidRDefault="009A06B1" w:rsidP="00703A37">
      <w:pPr>
        <w:spacing w:line="276" w:lineRule="auto"/>
        <w:ind w:firstLine="708"/>
        <w:jc w:val="both"/>
        <w:rPr>
          <w:rFonts w:eastAsia="Verdana"/>
          <w:lang w:val="sr-Cyrl-RS"/>
        </w:rPr>
      </w:pPr>
      <w:r w:rsidRPr="00CE2CF6">
        <w:rPr>
          <w:rFonts w:eastAsia="Verdana"/>
          <w:lang w:val="sr-Cyrl-RS"/>
        </w:rPr>
        <w:t>Корисник остварује право на доделу средстава подстицаја за инвестициони пројекат, који представља скуп активности стицања, имплементације и комерцијалног коришћења заштитног знака и хотелског бренда, укључујући све активности изградње, опремања, дигиталне интеграције, обуке кадрова и брендирања објекта, преузимање система обављања делатности, коришћења канала продаје и сл. на основу франшизног уговора (у даљем тексту: инвестициони пројекат).</w:t>
      </w:r>
    </w:p>
    <w:p w14:paraId="6C3017D3" w14:textId="77777777" w:rsidR="00DF0F57" w:rsidRPr="00CE2CF6" w:rsidRDefault="00DF0F57" w:rsidP="00703A37">
      <w:pPr>
        <w:spacing w:line="276" w:lineRule="auto"/>
        <w:ind w:firstLine="708"/>
        <w:jc w:val="both"/>
        <w:rPr>
          <w:rFonts w:eastAsia="Verdana"/>
          <w:lang w:val="sr-Cyrl-RS"/>
        </w:rPr>
      </w:pPr>
      <w:r w:rsidRPr="00CE2CF6">
        <w:rPr>
          <w:rFonts w:eastAsia="Verdana"/>
          <w:lang w:val="sr-Cyrl-RS"/>
        </w:rPr>
        <w:lastRenderedPageBreak/>
        <w:t>Корисник може да оствари право на доделу средстава подстицаја за један инвестициони пројекат</w:t>
      </w:r>
      <w:r w:rsidR="001113C8" w:rsidRPr="00CE2CF6">
        <w:rPr>
          <w:rFonts w:eastAsia="Verdana"/>
          <w:lang w:val="sr-Cyrl-RS"/>
        </w:rPr>
        <w:t xml:space="preserve"> </w:t>
      </w:r>
      <w:r w:rsidRPr="00CE2CF6">
        <w:rPr>
          <w:rFonts w:eastAsia="Verdana"/>
          <w:lang w:val="sr-Cyrl-RS"/>
        </w:rPr>
        <w:t xml:space="preserve">ако: </w:t>
      </w:r>
    </w:p>
    <w:p w14:paraId="20CC909D" w14:textId="3FCF4DC8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је регистрован у одговарајућем регистру, сагласно прописима из области угоститељства;</w:t>
      </w:r>
    </w:p>
    <w:p w14:paraId="62D48A0F" w14:textId="3103DA17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над њим није покренут претходни стечајни поступак, реорганизација, стечај или ликвидација, у складу са прописима којима се уређују стечај и ликвидација;  </w:t>
      </w:r>
    </w:p>
    <w:p w14:paraId="0EC1560A" w14:textId="55EB49A7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нема доспеле, а неизмирене обавезе по основу пореза у Републици Србији;</w:t>
      </w:r>
    </w:p>
    <w:p w14:paraId="2A0E8963" w14:textId="3E7570AC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Република Србија, аутономна покрајина или јединица локалне самоуправе нема учешће у његовом власништву;</w:t>
      </w:r>
    </w:p>
    <w:p w14:paraId="0AB966F2" w14:textId="3A704AA1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за исте оправдане трошкове улагања није по другом основу користио подстицајна средства (субвенције, донације и др.);</w:t>
      </w:r>
    </w:p>
    <w:p w14:paraId="05AF0C70" w14:textId="00EBDBA8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није у обавези повраћаја недозвољене државне помоћи или de minimis помоћи;</w:t>
      </w:r>
    </w:p>
    <w:p w14:paraId="277CD2D8" w14:textId="73567559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нема раскинут уговор о додели средстава подстицаја, осим у случају споразумног раскида уговора;</w:t>
      </w:r>
    </w:p>
    <w:p w14:paraId="7AB17E1C" w14:textId="56E0D5D0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има франшизни уговор закључен између Корисника и међународног хотелског ланца;</w:t>
      </w:r>
    </w:p>
    <w:p w14:paraId="063FE99E" w14:textId="0A7762F5" w:rsidR="00050AC4" w:rsidRPr="00CE2CF6" w:rsidRDefault="00050AC4" w:rsidP="00CE2B47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није привредно друштво у тешкоћама у смислу прописа којима се уређује контрола државне помоћи;</w:t>
      </w:r>
    </w:p>
    <w:p w14:paraId="330B9E69" w14:textId="189A2A2E" w:rsidR="003A6FDA" w:rsidRPr="00CE2CF6" w:rsidRDefault="00050AC4" w:rsidP="00301813">
      <w:pPr>
        <w:pStyle w:val="ListParagraph"/>
        <w:numPr>
          <w:ilvl w:val="0"/>
          <w:numId w:val="18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није у потпуности или делимично престао са обављањем исте или сличне делатности на територији Републике Србије у периоду од две године пре подношења захтева за регионалну државну помоћ за улагање нити планира да престане са обављањем такве делатности у року од највише две године након завршетка почетног улагања.</w:t>
      </w:r>
    </w:p>
    <w:p w14:paraId="5FC8EE7F" w14:textId="763E3EC9" w:rsidR="00DF0F57" w:rsidRPr="00CE2CF6" w:rsidRDefault="00DF0F57" w:rsidP="00703A37">
      <w:pPr>
        <w:spacing w:line="276" w:lineRule="auto"/>
        <w:ind w:firstLine="720"/>
        <w:jc w:val="both"/>
        <w:rPr>
          <w:rFonts w:eastAsiaTheme="minorEastAsia"/>
          <w:lang w:val="sr-Cyrl-RS"/>
        </w:rPr>
      </w:pPr>
      <w:r w:rsidRPr="00CE2CF6">
        <w:rPr>
          <w:rFonts w:eastAsiaTheme="minorEastAsia"/>
          <w:lang w:val="sr-Cyrl-RS"/>
        </w:rPr>
        <w:t>Франшизни уговор јесте уговор закључен на период не краћи од 10</w:t>
      </w:r>
      <w:r w:rsidR="00151610" w:rsidRPr="00CE2CF6">
        <w:rPr>
          <w:rFonts w:eastAsiaTheme="minorEastAsia"/>
          <w:lang w:val="sr-Cyrl-RS"/>
        </w:rPr>
        <w:t xml:space="preserve"> (десет)</w:t>
      </w:r>
      <w:r w:rsidRPr="00CE2CF6">
        <w:rPr>
          <w:rFonts w:eastAsiaTheme="minorEastAsia"/>
          <w:lang w:val="sr-Cyrl-RS"/>
        </w:rPr>
        <w:t xml:space="preserve"> година између Корисника и </w:t>
      </w:r>
      <w:r w:rsidRPr="00CE2CF6">
        <w:rPr>
          <w:lang w:val="sr-Cyrl-RS"/>
        </w:rPr>
        <w:t>међународног хотелског ланца, којим се преноси право коришћења заштитног знака и бренда, за категорију хотела од најмање четири звездице (4*), приступа глобалним стандардима, оперативним процедурама, дигиталним системима (PMS, резервационе платформе, CRM), као и пословним и маркетиншким алатима и систему оперативних процедура и пословања</w:t>
      </w:r>
      <w:r w:rsidR="004F28CB" w:rsidRPr="00CE2CF6">
        <w:rPr>
          <w:lang w:val="sr-Cyrl-RS"/>
        </w:rPr>
        <w:t>, укључујући и уговор о пружању небрендираних услуга управљања</w:t>
      </w:r>
      <w:r w:rsidRPr="00CE2CF6">
        <w:rPr>
          <w:rFonts w:eastAsiaTheme="minorEastAsia"/>
          <w:lang w:val="sr-Cyrl-RS"/>
        </w:rPr>
        <w:t xml:space="preserve"> (у даљем тексту: франшизни уговор). </w:t>
      </w:r>
    </w:p>
    <w:p w14:paraId="3A725B7F" w14:textId="77777777" w:rsidR="00DF0F57" w:rsidRPr="00CE2CF6" w:rsidRDefault="00DF0F57" w:rsidP="00703A37">
      <w:pPr>
        <w:spacing w:line="276" w:lineRule="auto"/>
        <w:ind w:firstLine="720"/>
        <w:jc w:val="both"/>
        <w:rPr>
          <w:rFonts w:eastAsiaTheme="minorEastAsia"/>
          <w:lang w:val="sr-Cyrl-RS"/>
        </w:rPr>
      </w:pPr>
      <w:r w:rsidRPr="00CE2CF6">
        <w:rPr>
          <w:rFonts w:eastAsiaTheme="minorEastAsia"/>
          <w:lang w:val="sr-Cyrl-RS"/>
        </w:rPr>
        <w:t>Међународни хотелски ланац</w:t>
      </w:r>
      <w:r w:rsidR="009E7F6A" w:rsidRPr="00CE2CF6">
        <w:rPr>
          <w:rFonts w:eastAsiaTheme="minorEastAsia"/>
          <w:lang w:val="sr-Cyrl-RS"/>
        </w:rPr>
        <w:t xml:space="preserve">, у смислу Уредбе, </w:t>
      </w:r>
      <w:r w:rsidRPr="00CE2CF6">
        <w:rPr>
          <w:rFonts w:eastAsiaTheme="minorEastAsia"/>
          <w:lang w:val="sr-Cyrl-RS"/>
        </w:rPr>
        <w:t>јесте правно лице или група повезаних лица које управља са најмање 50 хотела у сопственом власништву или под директним менаџментом и најмање 100 хотела у франшизној мрежи, које послује у најмање 10 држава, на најмање два континента и има активно присуство у најмање пет међународно признатих туристичких дестинација или главних туристичких градова, према листама које објављују Светска туристичка организација (</w:t>
      </w:r>
      <w:r w:rsidRPr="00CE2CF6">
        <w:rPr>
          <w:rFonts w:eastAsiaTheme="minorEastAsia"/>
          <w:i/>
          <w:iCs/>
          <w:lang w:val="sr-Cyrl-RS"/>
        </w:rPr>
        <w:t>UNWTO</w:t>
      </w:r>
      <w:r w:rsidRPr="00CE2CF6">
        <w:rPr>
          <w:rFonts w:eastAsiaTheme="minorEastAsia"/>
          <w:lang w:val="sr-Cyrl-RS"/>
        </w:rPr>
        <w:t xml:space="preserve">), UNESCO, Светски савет за путовања и туризам </w:t>
      </w:r>
      <w:r w:rsidRPr="00CE2CF6">
        <w:rPr>
          <w:rFonts w:eastAsiaTheme="minorEastAsia"/>
          <w:i/>
          <w:iCs/>
          <w:lang w:val="sr-Cyrl-RS"/>
        </w:rPr>
        <w:t>(WTTC)</w:t>
      </w:r>
      <w:r w:rsidRPr="00CE2CF6">
        <w:rPr>
          <w:rFonts w:eastAsiaTheme="minorEastAsia"/>
          <w:lang w:val="sr-Cyrl-RS"/>
        </w:rPr>
        <w:t xml:space="preserve"> или друга релевантна међународна асоцијација и поседује међународно регистроване брендове, са доказаним глобалним тржишним присуством и стандардизованим системом оперативних процедура пословања (у даљем тексту: међународни хотелски ланац).</w:t>
      </w:r>
    </w:p>
    <w:p w14:paraId="0AFF3375" w14:textId="20C1EB3D" w:rsidR="004F28CB" w:rsidRPr="00CE2CF6" w:rsidRDefault="00DF0F57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lastRenderedPageBreak/>
        <w:t>Изузетно</w:t>
      </w:r>
      <w:r w:rsidR="00790F8E" w:rsidRPr="00CE2CF6">
        <w:rPr>
          <w:lang w:val="sr-Cyrl-RS"/>
        </w:rPr>
        <w:t>,</w:t>
      </w:r>
      <w:r w:rsidRPr="00CE2CF6">
        <w:rPr>
          <w:lang w:val="sr-Cyrl-RS"/>
        </w:rPr>
        <w:t xml:space="preserve"> </w:t>
      </w:r>
      <w:r w:rsidRPr="00CE2CF6">
        <w:rPr>
          <w:rFonts w:eastAsia="Verdana"/>
          <w:lang w:val="sr-Cyrl-RS"/>
        </w:rPr>
        <w:t xml:space="preserve">Корисник може да оствари право на доделу средстава подстицаја </w:t>
      </w:r>
      <w:r w:rsidR="00790F8E" w:rsidRPr="00CE2CF6">
        <w:rPr>
          <w:rFonts w:eastAsia="Verdana"/>
          <w:lang w:val="sr-Cyrl-RS"/>
        </w:rPr>
        <w:t xml:space="preserve">и </w:t>
      </w:r>
      <w:r w:rsidRPr="00CE2CF6">
        <w:rPr>
          <w:rFonts w:eastAsia="Verdana"/>
          <w:lang w:val="sr-Cyrl-RS"/>
        </w:rPr>
        <w:t xml:space="preserve">уколико је у поступку закључења </w:t>
      </w:r>
      <w:r w:rsidRPr="00CE2CF6">
        <w:rPr>
          <w:lang w:val="sr-Cyrl-RS"/>
        </w:rPr>
        <w:t xml:space="preserve">франшизног уговора, којим се обезбеђује набавка бренда и друге нематеријалне имовине, у складу са </w:t>
      </w:r>
      <w:r w:rsidR="009E7F6A" w:rsidRPr="00CE2CF6">
        <w:rPr>
          <w:lang w:val="sr-Cyrl-RS"/>
        </w:rPr>
        <w:t>У</w:t>
      </w:r>
      <w:r w:rsidRPr="00CE2CF6">
        <w:rPr>
          <w:lang w:val="sr-Cyrl-RS"/>
        </w:rPr>
        <w:t>редбом, што се доказује писмом о намерама закљученим са даваоцем франшизе.</w:t>
      </w:r>
      <w:r w:rsidR="00790F8E" w:rsidRPr="00CE2CF6">
        <w:rPr>
          <w:lang w:val="sr-Cyrl-RS"/>
        </w:rPr>
        <w:t xml:space="preserve"> </w:t>
      </w:r>
    </w:p>
    <w:p w14:paraId="502CFD6A" w14:textId="36BCC6D1" w:rsidR="00DF0F57" w:rsidRPr="00CE2CF6" w:rsidRDefault="00DF0F57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 xml:space="preserve"> </w:t>
      </w:r>
      <w:r w:rsidR="004F28CB" w:rsidRPr="00CE2CF6">
        <w:rPr>
          <w:lang w:val="sr-Cyrl-RS"/>
        </w:rPr>
        <w:t xml:space="preserve">Небрендиране услуге управљања, у смислу </w:t>
      </w:r>
      <w:r w:rsidR="00CE2B47" w:rsidRPr="00CE2CF6">
        <w:rPr>
          <w:lang w:val="sr-Cyrl-RS"/>
        </w:rPr>
        <w:t>У</w:t>
      </w:r>
      <w:r w:rsidR="004F28CB" w:rsidRPr="00CE2CF6">
        <w:rPr>
          <w:lang w:val="sr-Cyrl-RS"/>
        </w:rPr>
        <w:t xml:space="preserve">редбе, представљају пратеће услуге у вези са реализацијом франшизног уговора и које су одобрене од стране даваоца франшизе, а обухватају техничко, оперативно и дигитално управљање хотелским објектом у име Корисника, без јавног истицања посебног бренда пружаоца услуге. Пружалац услуга небрендираног управљања, у смислу </w:t>
      </w:r>
      <w:r w:rsidR="005B7714" w:rsidRPr="00CE2CF6">
        <w:rPr>
          <w:lang w:val="sr-Cyrl-RS"/>
        </w:rPr>
        <w:t>У</w:t>
      </w:r>
      <w:r w:rsidR="004F28CB" w:rsidRPr="00CE2CF6">
        <w:rPr>
          <w:lang w:val="sr-Cyrl-RS"/>
        </w:rPr>
        <w:t>редбе, јесте правно лице које обавља професионалне техничке, оперативне и дигиталне услуге управљања и које поседује најмање петогодишње искуство управљања хотелима и има референце даваоца франшизе у вези са услугама управљања за најмање три реализована пројекта, у најмање две државе.</w:t>
      </w:r>
    </w:p>
    <w:p w14:paraId="6902A306" w14:textId="77777777" w:rsidR="003354AA" w:rsidRPr="00CE2CF6" w:rsidRDefault="00EB5779" w:rsidP="00703A37">
      <w:pPr>
        <w:spacing w:line="276" w:lineRule="auto"/>
        <w:ind w:firstLine="708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>Kорисник је дужан да</w:t>
      </w:r>
      <w:r w:rsidR="00B4268A" w:rsidRPr="00CE2CF6">
        <w:rPr>
          <w:rFonts w:eastAsia="Calibri"/>
          <w:lang w:val="sr-Cyrl-RS"/>
        </w:rPr>
        <w:t xml:space="preserve"> </w:t>
      </w:r>
      <w:r w:rsidRPr="00CE2CF6">
        <w:rPr>
          <w:rFonts w:eastAsia="Calibri"/>
          <w:lang w:val="sr-Cyrl-RS"/>
        </w:rPr>
        <w:t>обезбеди 2</w:t>
      </w:r>
      <w:r w:rsidR="009A06B1" w:rsidRPr="00CE2CF6">
        <w:rPr>
          <w:rFonts w:eastAsia="Calibri"/>
          <w:lang w:val="sr-Cyrl-RS"/>
        </w:rPr>
        <w:t xml:space="preserve"> (две)</w:t>
      </w:r>
      <w:r w:rsidRPr="00CE2CF6">
        <w:rPr>
          <w:rFonts w:eastAsia="Calibri"/>
          <w:lang w:val="sr-Cyrl-RS"/>
        </w:rPr>
        <w:t xml:space="preserve"> сопствене бланко мениц</w:t>
      </w:r>
      <w:r w:rsidR="009A06B1" w:rsidRPr="00CE2CF6">
        <w:rPr>
          <w:rFonts w:eastAsia="Calibri"/>
          <w:lang w:val="sr-Cyrl-RS"/>
        </w:rPr>
        <w:t>е</w:t>
      </w:r>
      <w:r w:rsidRPr="00CE2CF6">
        <w:rPr>
          <w:rFonts w:eastAsia="Calibri"/>
          <w:lang w:val="sr-Cyrl-RS"/>
        </w:rPr>
        <w:t xml:space="preserve"> или 2</w:t>
      </w:r>
      <w:r w:rsidR="009A06B1" w:rsidRPr="00CE2CF6">
        <w:rPr>
          <w:rFonts w:eastAsia="Calibri"/>
          <w:lang w:val="sr-Cyrl-RS"/>
        </w:rPr>
        <w:t xml:space="preserve"> (две)</w:t>
      </w:r>
      <w:r w:rsidRPr="00CE2CF6">
        <w:rPr>
          <w:rFonts w:eastAsia="Calibri"/>
          <w:lang w:val="sr-Cyrl-RS"/>
        </w:rPr>
        <w:t xml:space="preserve"> сопствене менице са авалом пословне банке </w:t>
      </w:r>
      <w:bookmarkStart w:id="1" w:name="_Hlk215399688"/>
      <w:r w:rsidRPr="00CE2CF6">
        <w:rPr>
          <w:rFonts w:eastAsia="Calibri"/>
          <w:lang w:val="sr-Cyrl-RS"/>
        </w:rPr>
        <w:t>(у даљем тексту: инструмент обезбеђења).</w:t>
      </w:r>
      <w:bookmarkEnd w:id="1"/>
      <w:r w:rsidRPr="00CE2CF6">
        <w:rPr>
          <w:rFonts w:eastAsia="Calibri"/>
          <w:lang w:val="sr-Cyrl-RS"/>
        </w:rPr>
        <w:t xml:space="preserve"> </w:t>
      </w:r>
    </w:p>
    <w:p w14:paraId="2534FD04" w14:textId="77777777" w:rsidR="009A06B1" w:rsidRPr="00CE2CF6" w:rsidRDefault="009A06B1" w:rsidP="00703A37">
      <w:pPr>
        <w:spacing w:line="276" w:lineRule="auto"/>
        <w:ind w:firstLine="708"/>
        <w:jc w:val="both"/>
        <w:rPr>
          <w:rFonts w:eastAsia="Calibri"/>
          <w:lang w:val="sr-Cyrl-RS"/>
        </w:rPr>
      </w:pPr>
    </w:p>
    <w:p w14:paraId="7CDB4224" w14:textId="423E39EF" w:rsidR="00453923" w:rsidRPr="00CE2CF6" w:rsidRDefault="003A4C83" w:rsidP="00BC729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sr-Cyrl-RS"/>
        </w:rPr>
      </w:pPr>
      <w:r w:rsidRPr="00CE2CF6">
        <w:rPr>
          <w:b/>
          <w:lang w:val="sr-Cyrl-RS"/>
        </w:rPr>
        <w:t xml:space="preserve">4. </w:t>
      </w:r>
      <w:r w:rsidR="00E26B81" w:rsidRPr="00CE2CF6">
        <w:rPr>
          <w:b/>
          <w:lang w:val="sr-Cyrl-RS"/>
        </w:rPr>
        <w:t>Захтев за доделу средстава подстицаја</w:t>
      </w:r>
      <w:r w:rsidR="00BC729D" w:rsidRPr="00CE2CF6">
        <w:rPr>
          <w:rFonts w:ascii="TimesNewRomanPS-BoldMT" w:hAnsi="TimesNewRomanPS-BoldMT" w:cs="TimesNewRomanPS-BoldMT"/>
          <w:b/>
          <w:bCs/>
          <w:lang w:val="sr-Cyrl-RS"/>
        </w:rPr>
        <w:t xml:space="preserve"> и </w:t>
      </w:r>
      <w:r w:rsidR="00BC729D" w:rsidRPr="00CE2CF6">
        <w:rPr>
          <w:b/>
          <w:bCs/>
          <w:lang w:val="sr-Cyrl-RS"/>
        </w:rPr>
        <w:t>пратећа документација</w:t>
      </w:r>
    </w:p>
    <w:p w14:paraId="0285480F" w14:textId="77777777" w:rsidR="00453923" w:rsidRPr="00CE2CF6" w:rsidRDefault="00453923" w:rsidP="00703A37">
      <w:pPr>
        <w:tabs>
          <w:tab w:val="left" w:pos="9072"/>
        </w:tabs>
        <w:spacing w:line="276" w:lineRule="auto"/>
        <w:ind w:right="327" w:firstLine="709"/>
        <w:jc w:val="center"/>
        <w:rPr>
          <w:rFonts w:eastAsia="Calibri"/>
          <w:lang w:val="sr-Cyrl-RS"/>
        </w:rPr>
      </w:pPr>
    </w:p>
    <w:p w14:paraId="4E2A06FE" w14:textId="77777777" w:rsidR="00453923" w:rsidRPr="00CE2CF6" w:rsidRDefault="00453923" w:rsidP="00703A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 xml:space="preserve">Поступак за остваривање права на </w:t>
      </w:r>
      <w:r w:rsidR="009A06B1" w:rsidRPr="00CE2CF6">
        <w:rPr>
          <w:rFonts w:eastAsia="Calibri"/>
          <w:lang w:val="sr-Cyrl-RS"/>
        </w:rPr>
        <w:t xml:space="preserve">доделу </w:t>
      </w:r>
      <w:r w:rsidRPr="00CE2CF6">
        <w:rPr>
          <w:rFonts w:eastAsia="Calibri"/>
          <w:lang w:val="sr-Cyrl-RS"/>
        </w:rPr>
        <w:t>средст</w:t>
      </w:r>
      <w:r w:rsidR="009A06B1" w:rsidRPr="00CE2CF6">
        <w:rPr>
          <w:rFonts w:eastAsia="Calibri"/>
          <w:lang w:val="sr-Cyrl-RS"/>
        </w:rPr>
        <w:t>а</w:t>
      </w:r>
      <w:r w:rsidRPr="00CE2CF6">
        <w:rPr>
          <w:rFonts w:eastAsia="Calibri"/>
          <w:lang w:val="sr-Cyrl-RS"/>
        </w:rPr>
        <w:t>ва</w:t>
      </w:r>
      <w:r w:rsidR="003354AA" w:rsidRPr="00CE2CF6">
        <w:rPr>
          <w:rFonts w:eastAsia="Calibri"/>
          <w:lang w:val="sr-Cyrl-RS"/>
        </w:rPr>
        <w:t xml:space="preserve"> подстицаја</w:t>
      </w:r>
      <w:r w:rsidRPr="00CE2CF6">
        <w:rPr>
          <w:rFonts w:eastAsia="Calibri"/>
          <w:lang w:val="sr-Cyrl-RS"/>
        </w:rPr>
        <w:t xml:space="preserve"> покреће се подношењем Захтева за</w:t>
      </w:r>
      <w:r w:rsidR="00E26B81" w:rsidRPr="00CE2CF6">
        <w:rPr>
          <w:rFonts w:eastAsia="Calibri"/>
          <w:lang w:val="sr-Cyrl-RS"/>
        </w:rPr>
        <w:t xml:space="preserve"> доделу</w:t>
      </w:r>
      <w:r w:rsidRPr="00CE2CF6">
        <w:rPr>
          <w:rFonts w:eastAsia="Calibri"/>
          <w:lang w:val="sr-Cyrl-RS"/>
        </w:rPr>
        <w:t xml:space="preserve"> </w:t>
      </w:r>
      <w:r w:rsidR="00A63924" w:rsidRPr="00CE2CF6">
        <w:rPr>
          <w:rFonts w:eastAsia="Calibri"/>
          <w:lang w:val="sr-Cyrl-RS"/>
        </w:rPr>
        <w:t>средст</w:t>
      </w:r>
      <w:r w:rsidR="00E26B81" w:rsidRPr="00CE2CF6">
        <w:rPr>
          <w:rFonts w:eastAsia="Calibri"/>
          <w:lang w:val="sr-Cyrl-RS"/>
        </w:rPr>
        <w:t>а</w:t>
      </w:r>
      <w:r w:rsidR="00A63924" w:rsidRPr="00CE2CF6">
        <w:rPr>
          <w:rFonts w:eastAsia="Calibri"/>
          <w:lang w:val="sr-Cyrl-RS"/>
        </w:rPr>
        <w:t>ва подстицаја</w:t>
      </w:r>
      <w:r w:rsidRPr="00CE2CF6">
        <w:rPr>
          <w:rFonts w:eastAsia="Calibri"/>
          <w:lang w:val="sr-Cyrl-RS"/>
        </w:rPr>
        <w:t xml:space="preserve"> (у даљем тексту: Захтев).</w:t>
      </w:r>
    </w:p>
    <w:p w14:paraId="4786E47A" w14:textId="2EC09147" w:rsidR="00B72744" w:rsidRPr="00CE2CF6" w:rsidRDefault="00453923" w:rsidP="00BC729D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sr-Cyrl-RS"/>
        </w:rPr>
      </w:pPr>
      <w:r w:rsidRPr="00CE2CF6">
        <w:rPr>
          <w:lang w:val="sr-Cyrl-RS"/>
        </w:rPr>
        <w:t>Захтев садржи: основне податке о Кориснику,</w:t>
      </w:r>
      <w:r w:rsidR="00CE5322" w:rsidRPr="00CE2CF6">
        <w:rPr>
          <w:lang w:val="sr-Cyrl-RS"/>
        </w:rPr>
        <w:t xml:space="preserve"> </w:t>
      </w:r>
      <w:r w:rsidR="00A63924" w:rsidRPr="00CE2CF6">
        <w:rPr>
          <w:lang w:val="sr-Cyrl-RS"/>
        </w:rPr>
        <w:t>инвестиционом п</w:t>
      </w:r>
      <w:r w:rsidRPr="00CE2CF6">
        <w:rPr>
          <w:lang w:val="sr-Cyrl-RS"/>
        </w:rPr>
        <w:t xml:space="preserve">ројекту, плану финансирања </w:t>
      </w:r>
      <w:r w:rsidR="007965DD" w:rsidRPr="00CE2CF6">
        <w:rPr>
          <w:lang w:val="sr-Cyrl-RS"/>
        </w:rPr>
        <w:t>инвестиционог п</w:t>
      </w:r>
      <w:r w:rsidRPr="00CE2CF6">
        <w:rPr>
          <w:lang w:val="sr-Cyrl-RS"/>
        </w:rPr>
        <w:t xml:space="preserve">ројекта и времену реализације </w:t>
      </w:r>
      <w:r w:rsidR="007965DD" w:rsidRPr="00CE2CF6">
        <w:rPr>
          <w:lang w:val="sr-Cyrl-RS"/>
        </w:rPr>
        <w:t>инвестиционог п</w:t>
      </w:r>
      <w:r w:rsidRPr="00CE2CF6">
        <w:rPr>
          <w:lang w:val="sr-Cyrl-RS"/>
        </w:rPr>
        <w:t>ројекта.</w:t>
      </w:r>
    </w:p>
    <w:p w14:paraId="2C9211C2" w14:textId="77777777" w:rsidR="00BC729D" w:rsidRPr="00CE2CF6" w:rsidRDefault="00BC729D" w:rsidP="00BC729D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sr-Cyrl-RS"/>
        </w:rPr>
      </w:pPr>
    </w:p>
    <w:p w14:paraId="5607314A" w14:textId="77777777" w:rsidR="00D27353" w:rsidRPr="00CE2CF6" w:rsidRDefault="00D27353" w:rsidP="00703A37">
      <w:pPr>
        <w:autoSpaceDE w:val="0"/>
        <w:autoSpaceDN w:val="0"/>
        <w:adjustRightInd w:val="0"/>
        <w:spacing w:line="276" w:lineRule="auto"/>
        <w:ind w:firstLine="720"/>
        <w:jc w:val="both"/>
        <w:rPr>
          <w:u w:val="single"/>
          <w:lang w:val="sr-Cyrl-RS"/>
        </w:rPr>
      </w:pPr>
      <w:r w:rsidRPr="00CE2CF6">
        <w:rPr>
          <w:u w:val="single"/>
          <w:lang w:val="sr-Cyrl-RS"/>
        </w:rPr>
        <w:t>У прилогу Захтева, Корисник доставља и следећу документацију*:</w:t>
      </w:r>
    </w:p>
    <w:p w14:paraId="19A22CBE" w14:textId="77777777" w:rsidR="00B72744" w:rsidRPr="00CE2CF6" w:rsidRDefault="00B72744" w:rsidP="00703A37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sr-Cyrl-RS"/>
        </w:rPr>
      </w:pPr>
    </w:p>
    <w:p w14:paraId="31D31952" w14:textId="5BEE6560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Бизнис план за инвестициони пројекат </w:t>
      </w:r>
      <w:r w:rsidR="00D27353" w:rsidRPr="00CE2CF6">
        <w:rPr>
          <w:lang w:val="sr-Cyrl-RS"/>
        </w:rPr>
        <w:t>према обрасцу у прилогу</w:t>
      </w:r>
      <w:r w:rsidR="00F479AE" w:rsidRPr="00CE2CF6">
        <w:rPr>
          <w:lang w:val="sr-Cyrl-RS"/>
        </w:rPr>
        <w:t>;</w:t>
      </w:r>
    </w:p>
    <w:p w14:paraId="0A7F1E42" w14:textId="34647843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Регистроване финансијске извештаје Корисника за претходне две године пословања, са </w:t>
      </w:r>
      <w:r w:rsidRPr="00CE2CF6">
        <w:rPr>
          <w:bCs/>
          <w:lang w:val="sr-Cyrl-RS"/>
        </w:rPr>
        <w:t>извештајима</w:t>
      </w:r>
      <w:r w:rsidRPr="00CE2CF6">
        <w:rPr>
          <w:lang w:val="sr-Cyrl-RS"/>
        </w:rPr>
        <w:t xml:space="preserve"> сачињеним од стране </w:t>
      </w:r>
      <w:r w:rsidRPr="00CE2CF6">
        <w:rPr>
          <w:bCs/>
          <w:lang w:val="sr-Cyrl-RS"/>
        </w:rPr>
        <w:t xml:space="preserve">овлашћеног ревизора </w:t>
      </w:r>
      <w:r w:rsidRPr="00CE2CF6">
        <w:rPr>
          <w:lang w:val="sr-Cyrl-RS"/>
        </w:rPr>
        <w:t>(уколико постоји законска обавеза вршења ревизије), уколико нису јавно објављени (oригинал или оверена фотокопија); </w:t>
      </w:r>
    </w:p>
    <w:p w14:paraId="49B877AF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Потврду о извршеној регистрацији ПИБ-а (oригинал или фотокопија); </w:t>
      </w:r>
    </w:p>
    <w:p w14:paraId="44D446C5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ОП образац - копија оверена у складу са Законом о оверавању потписа, рукописа и преписа („Службени гласник РС”, бр. 93/14, 22/15 и 87/18);</w:t>
      </w:r>
    </w:p>
    <w:p w14:paraId="1EABD760" w14:textId="5EA70BCE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Решење о упису правног лица</w:t>
      </w:r>
      <w:r w:rsidR="005B7714" w:rsidRPr="00CE2CF6">
        <w:rPr>
          <w:lang w:val="sr-Cyrl-RS"/>
        </w:rPr>
        <w:t xml:space="preserve"> </w:t>
      </w:r>
      <w:r w:rsidRPr="00CE2CF6">
        <w:rPr>
          <w:lang w:val="sr-Cyrl-RS"/>
        </w:rPr>
        <w:t>у одговарајући регистар (може копија);</w:t>
      </w:r>
    </w:p>
    <w:p w14:paraId="41722F41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Уговор са пословном банком о отварању и вођењу текућег рачуна (може копија);</w:t>
      </w:r>
    </w:p>
    <w:p w14:paraId="179676F6" w14:textId="77777777" w:rsidR="00B72744" w:rsidRPr="00CE2CF6" w:rsidRDefault="009F42F7" w:rsidP="00703A37">
      <w:pPr>
        <w:pStyle w:val="ListParagraph"/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Потврду да нема доспеле, а неизмирене обавезе по основу пореза у Републици Србији;</w:t>
      </w:r>
    </w:p>
    <w:p w14:paraId="0B5F299A" w14:textId="7900324C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Франшизни уговор, односно писмо о намерама даваоца франшизе у вези са закључењем франшизног уговора (оригинал или оверена копија), уколико је Корисник у </w:t>
      </w:r>
      <w:r w:rsidRPr="00CE2CF6">
        <w:rPr>
          <w:rFonts w:eastAsia="Verdana"/>
          <w:lang w:val="sr-Cyrl-RS"/>
        </w:rPr>
        <w:t xml:space="preserve">поступку закључења </w:t>
      </w:r>
      <w:r w:rsidRPr="00CE2CF6">
        <w:rPr>
          <w:lang w:val="sr-Cyrl-RS"/>
        </w:rPr>
        <w:t>франшизног уговора, које писмо, између осталог, садржи и елементе за обрачун оправданих трошкова улагања;</w:t>
      </w:r>
    </w:p>
    <w:p w14:paraId="5CCBBCAE" w14:textId="497CC59D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bookmarkStart w:id="2" w:name="_Hlk219304819"/>
      <w:r w:rsidRPr="00CE2CF6">
        <w:rPr>
          <w:lang w:val="sr-Cyrl-RS"/>
        </w:rPr>
        <w:lastRenderedPageBreak/>
        <w:t>Изјаву о референцама Корисника (препознатљивост на тржишту, досадашња искуства и успешност у реализацији инвестиционих пројеката и сл</w:t>
      </w:r>
      <w:r w:rsidR="005B7714" w:rsidRPr="00CE2CF6">
        <w:rPr>
          <w:lang w:val="sr-Cyrl-RS"/>
        </w:rPr>
        <w:t>.</w:t>
      </w:r>
      <w:r w:rsidRPr="00CE2CF6">
        <w:rPr>
          <w:lang w:val="sr-Cyrl-RS"/>
        </w:rPr>
        <w:t xml:space="preserve">); </w:t>
      </w:r>
    </w:p>
    <w:p w14:paraId="0F1240D9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Изјаву о референцама међународног хотелског ланца (препознатљивост на тржишту, укључујући обим глобалне мреже, присуство на тржиштима, стандардизацију пословања);</w:t>
      </w:r>
    </w:p>
    <w:p w14:paraId="4A4E6BF2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Изјаву о финансијско-тржишној оцени инвестиционог пројекта (извори финансирања, ликвидност, профитабилност, одрживост и период повраћаја инвестиције и др). </w:t>
      </w:r>
    </w:p>
    <w:p w14:paraId="3D8FF5B6" w14:textId="7981FA8E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bookmarkStart w:id="3" w:name="_Hlk219305816"/>
      <w:bookmarkEnd w:id="2"/>
      <w:r w:rsidRPr="00CE2CF6">
        <w:rPr>
          <w:lang w:val="sr-Cyrl-RS"/>
        </w:rPr>
        <w:t xml:space="preserve">Изјаву да за оправдане трошкове улагања из инвестиционог пројекта није по другом основу користио </w:t>
      </w:r>
      <w:r w:rsidR="00301813" w:rsidRPr="00CE2CF6">
        <w:rPr>
          <w:lang w:val="sr-Cyrl-RS"/>
        </w:rPr>
        <w:t>подстицајна средства</w:t>
      </w:r>
      <w:r w:rsidRPr="00CE2CF6">
        <w:rPr>
          <w:lang w:val="sr-Cyrl-RS"/>
        </w:rPr>
        <w:t xml:space="preserve"> (субвенције, донације и др.);</w:t>
      </w:r>
    </w:p>
    <w:p w14:paraId="54A09BB0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Изјаву да над њим није покренут претходни стечајни поступак, реорганизација, стечај или ликвидација, у складу са прописима којима се уређују стечај и ликвидација;</w:t>
      </w:r>
    </w:p>
    <w:p w14:paraId="30818050" w14:textId="77777777" w:rsidR="009F42F7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Изјаву да Република Србија, аутономна покрајина или јединица локалне самоуправе није његов оснивач и да нема учешће у његовом власништву; </w:t>
      </w:r>
    </w:p>
    <w:p w14:paraId="669E2B23" w14:textId="77777777" w:rsidR="009D5429" w:rsidRPr="00CE2CF6" w:rsidRDefault="009F42F7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Изјаву да нема раскинут уговор о додели средстава подстицаја, осим у случају споразумног раскида уговора</w:t>
      </w:r>
      <w:r w:rsidR="009D5429" w:rsidRPr="00CE2CF6">
        <w:rPr>
          <w:lang w:val="sr-Cyrl-RS"/>
        </w:rPr>
        <w:t>;</w:t>
      </w:r>
    </w:p>
    <w:p w14:paraId="30D3733F" w14:textId="798DAE4D" w:rsidR="00A42476" w:rsidRPr="00CE2CF6" w:rsidRDefault="009D5429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 xml:space="preserve">Изјаву да Корисник није потпуности или делимично престао са обављањем исте или сличне делатности на територији Републике Србије у периоду од две године пре подношења захтева за регионалну државну помоћ за улагање </w:t>
      </w:r>
      <w:r w:rsidR="004F28CB" w:rsidRPr="00CE2CF6">
        <w:rPr>
          <w:lang w:val="sr-Cyrl-RS"/>
        </w:rPr>
        <w:t xml:space="preserve">нити </w:t>
      </w:r>
      <w:r w:rsidRPr="00CE2CF6">
        <w:rPr>
          <w:lang w:val="sr-Cyrl-RS"/>
        </w:rPr>
        <w:t>планира да престане са обављањем такве делатности у року од највише две године након завршетка почетног улагањ</w:t>
      </w:r>
      <w:r w:rsidR="00C9055F" w:rsidRPr="00CE2CF6">
        <w:rPr>
          <w:lang w:val="sr-Cyrl-RS"/>
        </w:rPr>
        <w:t>а</w:t>
      </w:r>
      <w:r w:rsidRPr="00CE2CF6">
        <w:rPr>
          <w:lang w:val="sr-Cyrl-RS"/>
        </w:rPr>
        <w:t>;</w:t>
      </w:r>
    </w:p>
    <w:p w14:paraId="2A4D6623" w14:textId="58BFDD32" w:rsidR="006D37D9" w:rsidRPr="00CE2CF6" w:rsidRDefault="006D37D9" w:rsidP="00703A37">
      <w:pPr>
        <w:pStyle w:val="ListParagraph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lang w:val="sr-Cyrl-RS"/>
        </w:rPr>
      </w:pPr>
      <w:r w:rsidRPr="00CE2CF6">
        <w:rPr>
          <w:lang w:val="sr-Cyrl-RS"/>
        </w:rPr>
        <w:t>Изјаву да Корисник није у обавези повраћаја недозвољене државне помоћи или de minimis помоћи</w:t>
      </w:r>
      <w:r w:rsidR="009D5429" w:rsidRPr="00CE2CF6">
        <w:rPr>
          <w:lang w:val="sr-Cyrl-RS"/>
        </w:rPr>
        <w:t xml:space="preserve">, као </w:t>
      </w:r>
      <w:r w:rsidR="00F26C33" w:rsidRPr="00CE2CF6">
        <w:rPr>
          <w:lang w:val="sr-Cyrl-RS"/>
        </w:rPr>
        <w:t xml:space="preserve">и </w:t>
      </w:r>
      <w:r w:rsidR="009D5429" w:rsidRPr="00CE2CF6">
        <w:rPr>
          <w:lang w:val="sr-Cyrl-RS"/>
        </w:rPr>
        <w:t>да није у тешкоћама у смислу прописа којима се уређује контрола државне помоћи</w:t>
      </w:r>
      <w:r w:rsidRPr="00CE2CF6">
        <w:rPr>
          <w:lang w:val="sr-Cyrl-RS"/>
        </w:rPr>
        <w:t>.</w:t>
      </w:r>
    </w:p>
    <w:bookmarkEnd w:id="3"/>
    <w:p w14:paraId="575FFE46" w14:textId="77777777" w:rsidR="00A42476" w:rsidRPr="00CE2CF6" w:rsidRDefault="00A42476" w:rsidP="00703A37">
      <w:pPr>
        <w:tabs>
          <w:tab w:val="left" w:pos="993"/>
          <w:tab w:val="left" w:pos="1134"/>
        </w:tabs>
        <w:spacing w:line="276" w:lineRule="auto"/>
        <w:ind w:left="709"/>
        <w:contextualSpacing/>
        <w:jc w:val="both"/>
        <w:rPr>
          <w:b/>
          <w:bCs/>
          <w:i/>
          <w:lang w:val="sr-Cyrl-RS"/>
        </w:rPr>
      </w:pPr>
      <w:r w:rsidRPr="00CE2CF6">
        <w:rPr>
          <w:b/>
          <w:bCs/>
          <w:i/>
          <w:lang w:val="sr-Cyrl-RS"/>
        </w:rPr>
        <w:t>Напомена:</w:t>
      </w:r>
    </w:p>
    <w:p w14:paraId="2C9D306E" w14:textId="77777777" w:rsidR="006D37D9" w:rsidRPr="00CE2CF6" w:rsidRDefault="00A42476" w:rsidP="00703A37">
      <w:pPr>
        <w:spacing w:line="276" w:lineRule="auto"/>
        <w:jc w:val="both"/>
        <w:rPr>
          <w:lang w:val="sr-Cyrl-RS"/>
        </w:rPr>
      </w:pPr>
      <w:r w:rsidRPr="00CE2CF6">
        <w:rPr>
          <w:lang w:val="sr-Cyrl-RS"/>
        </w:rPr>
        <w:tab/>
        <w:t>Изјаве под тач. 9, 10. и 11. садржане су у Бизнис плану и не треба их посебно прилагати.</w:t>
      </w:r>
    </w:p>
    <w:p w14:paraId="5A17A7AD" w14:textId="5000FFBD" w:rsidR="006D37D9" w:rsidRPr="00CE2CF6" w:rsidRDefault="006D37D9" w:rsidP="006D37D9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Изјаве под тач. 12-</w:t>
      </w:r>
      <w:r w:rsidR="009D5429" w:rsidRPr="00CE2CF6">
        <w:rPr>
          <w:lang w:val="sr-Cyrl-RS"/>
        </w:rPr>
        <w:t>17</w:t>
      </w:r>
      <w:r w:rsidRPr="00CE2CF6">
        <w:rPr>
          <w:lang w:val="sr-Cyrl-RS"/>
        </w:rPr>
        <w:t>. достављају се у слободној форми.</w:t>
      </w:r>
    </w:p>
    <w:p w14:paraId="637A4A78" w14:textId="77777777" w:rsidR="00A42476" w:rsidRPr="00CE2CF6" w:rsidRDefault="00A42476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Напред наведена документа морају бити на српском језику, односно оверена у складу са прописима државе у којој су издата и преведена на српски језик од стране овлашћеног преводиоца.</w:t>
      </w:r>
    </w:p>
    <w:p w14:paraId="253590BC" w14:textId="1B5C15CB" w:rsidR="00A42476" w:rsidRPr="00CE2CF6" w:rsidRDefault="00A42476" w:rsidP="00703A37">
      <w:pPr>
        <w:spacing w:line="276" w:lineRule="auto"/>
        <w:jc w:val="both"/>
        <w:rPr>
          <w:lang w:val="en-GB"/>
        </w:rPr>
      </w:pPr>
      <w:r w:rsidRPr="00CE2CF6">
        <w:rPr>
          <w:lang w:val="sr-Cyrl-RS"/>
        </w:rPr>
        <w:tab/>
        <w:t xml:space="preserve">Образац захтева са изјавама може се преузети са званичне интернет презентације </w:t>
      </w:r>
      <w:r w:rsidR="0058054F" w:rsidRPr="00CE2CF6">
        <w:rPr>
          <w:lang w:val="sr-Cyrl-RS"/>
        </w:rPr>
        <w:t>министарства:</w:t>
      </w:r>
      <w:r w:rsidR="00300335" w:rsidRPr="00CE2CF6">
        <w:rPr>
          <w:lang w:val="sr-Cyrl-RS"/>
        </w:rPr>
        <w:t xml:space="preserve"> </w:t>
      </w:r>
      <w:hyperlink r:id="rId7" w:history="1">
        <w:r w:rsidR="00A16C8F" w:rsidRPr="00472D38">
          <w:rPr>
            <w:rStyle w:val="Hyperlink"/>
          </w:rPr>
          <w:t>https://mto.gov.rs/tekst/13588/javni-pozivi-2026-godina.php</w:t>
        </w:r>
      </w:hyperlink>
      <w:r w:rsidR="00A16C8F">
        <w:t xml:space="preserve">. </w:t>
      </w:r>
      <w:r w:rsidR="004D2508" w:rsidRPr="00CE2CF6">
        <w:rPr>
          <w:lang w:val="en-GB"/>
        </w:rPr>
        <w:t xml:space="preserve"> </w:t>
      </w:r>
    </w:p>
    <w:p w14:paraId="1FBA33AC" w14:textId="77777777" w:rsidR="004D2508" w:rsidRPr="00CE2CF6" w:rsidRDefault="004D2508" w:rsidP="00703A37">
      <w:pPr>
        <w:spacing w:line="276" w:lineRule="auto"/>
        <w:jc w:val="both"/>
        <w:rPr>
          <w:sz w:val="20"/>
          <w:szCs w:val="20"/>
          <w:lang w:val="sr-Cyrl-RS"/>
        </w:rPr>
      </w:pPr>
    </w:p>
    <w:p w14:paraId="12FE5072" w14:textId="0D6CBDCE" w:rsidR="00A42476" w:rsidRPr="00CE2CF6" w:rsidRDefault="00A42476" w:rsidP="00703A37">
      <w:pPr>
        <w:spacing w:line="276" w:lineRule="auto"/>
        <w:jc w:val="both"/>
        <w:rPr>
          <w:sz w:val="20"/>
          <w:szCs w:val="20"/>
          <w:lang w:val="sr-Cyrl-RS"/>
        </w:rPr>
      </w:pPr>
      <w:r w:rsidRPr="00CE2CF6">
        <w:rPr>
          <w:sz w:val="20"/>
          <w:szCs w:val="20"/>
          <w:lang w:val="sr-Cyrl-RS"/>
        </w:rPr>
        <w:t xml:space="preserve">*Документa о чињеницама о којима се води службена евиденција су: </w:t>
      </w:r>
    </w:p>
    <w:p w14:paraId="4160D837" w14:textId="7AA40BD5" w:rsidR="00A42476" w:rsidRPr="00CE2CF6" w:rsidRDefault="00A42476" w:rsidP="00703A3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sr-Cyrl-RS"/>
        </w:rPr>
      </w:pPr>
      <w:r w:rsidRPr="00CE2CF6">
        <w:rPr>
          <w:sz w:val="20"/>
          <w:szCs w:val="20"/>
          <w:lang w:val="sr-Cyrl-RS"/>
        </w:rPr>
        <w:t xml:space="preserve">- Решење о упису привредног друштва, другог правног лица и предузетника у одговарајући </w:t>
      </w:r>
      <w:r w:rsidR="00301813" w:rsidRPr="00CE2CF6">
        <w:rPr>
          <w:sz w:val="20"/>
          <w:szCs w:val="20"/>
          <w:lang w:val="sr-Cyrl-RS"/>
        </w:rPr>
        <w:t>р</w:t>
      </w:r>
      <w:r w:rsidRPr="00CE2CF6">
        <w:rPr>
          <w:sz w:val="20"/>
          <w:szCs w:val="20"/>
          <w:lang w:val="sr-Cyrl-RS"/>
        </w:rPr>
        <w:t>егистар;</w:t>
      </w:r>
    </w:p>
    <w:p w14:paraId="3B5395AA" w14:textId="77777777" w:rsidR="00A42476" w:rsidRPr="00CE2CF6" w:rsidRDefault="00A42476" w:rsidP="00703A3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sr-Cyrl-RS"/>
        </w:rPr>
      </w:pPr>
      <w:r w:rsidRPr="00CE2CF6">
        <w:rPr>
          <w:sz w:val="20"/>
          <w:szCs w:val="20"/>
          <w:lang w:val="sr-Cyrl-RS"/>
        </w:rPr>
        <w:t>- Потврду о извршеној регистрацији ПИБ-а;</w:t>
      </w:r>
    </w:p>
    <w:p w14:paraId="1CC0C63B" w14:textId="7BB1B5B8" w:rsidR="00A42476" w:rsidRPr="00CE2CF6" w:rsidRDefault="00A42476" w:rsidP="00703A3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sr-Cyrl-RS"/>
        </w:rPr>
      </w:pPr>
      <w:r w:rsidRPr="00CE2CF6">
        <w:rPr>
          <w:sz w:val="20"/>
          <w:szCs w:val="20"/>
          <w:lang w:val="sr-Cyrl-RS"/>
        </w:rPr>
        <w:t>- Потврда о регулисаним пореским обавезама, не старија од 30 дана.</w:t>
      </w:r>
    </w:p>
    <w:p w14:paraId="3FCA9104" w14:textId="656CBAFB" w:rsidR="006942EA" w:rsidRPr="00CE2CF6" w:rsidRDefault="00A42476" w:rsidP="00703A37">
      <w:pPr>
        <w:spacing w:line="276" w:lineRule="auto"/>
        <w:jc w:val="both"/>
        <w:rPr>
          <w:sz w:val="20"/>
          <w:szCs w:val="20"/>
          <w:lang w:val="sr-Cyrl-RS"/>
        </w:rPr>
      </w:pPr>
      <w:r w:rsidRPr="00CE2CF6">
        <w:rPr>
          <w:sz w:val="20"/>
          <w:szCs w:val="20"/>
          <w:lang w:val="sr-Cyrl-RS"/>
        </w:rPr>
        <w:t>Одредб</w:t>
      </w:r>
      <w:r w:rsidR="005B7714" w:rsidRPr="00CE2CF6">
        <w:rPr>
          <w:sz w:val="20"/>
          <w:szCs w:val="20"/>
          <w:lang w:val="sr-Cyrl-RS"/>
        </w:rPr>
        <w:t>а</w:t>
      </w:r>
      <w:r w:rsidRPr="00CE2CF6">
        <w:rPr>
          <w:sz w:val="20"/>
          <w:szCs w:val="20"/>
          <w:lang w:val="sr-Cyrl-RS"/>
        </w:rPr>
        <w:t>м</w:t>
      </w:r>
      <w:r w:rsidR="005B7714" w:rsidRPr="00CE2CF6">
        <w:rPr>
          <w:sz w:val="20"/>
          <w:szCs w:val="20"/>
          <w:lang w:val="sr-Cyrl-RS"/>
        </w:rPr>
        <w:t>а</w:t>
      </w:r>
      <w:r w:rsidRPr="00CE2CF6">
        <w:rPr>
          <w:sz w:val="20"/>
          <w:szCs w:val="20"/>
          <w:lang w:val="sr-Cyrl-RS"/>
        </w:rPr>
        <w:t xml:space="preserve"> чл</w:t>
      </w:r>
      <w:r w:rsidR="005B7714" w:rsidRPr="00CE2CF6">
        <w:rPr>
          <w:sz w:val="20"/>
          <w:szCs w:val="20"/>
          <w:lang w:val="sr-Cyrl-RS"/>
        </w:rPr>
        <w:t>.</w:t>
      </w:r>
      <w:r w:rsidRPr="00CE2CF6">
        <w:rPr>
          <w:sz w:val="20"/>
          <w:szCs w:val="20"/>
          <w:lang w:val="sr-Cyrl-RS"/>
        </w:rPr>
        <w:t xml:space="preserve"> 9. </w:t>
      </w:r>
      <w:r w:rsidR="005B7714" w:rsidRPr="00CE2CF6">
        <w:rPr>
          <w:sz w:val="20"/>
          <w:szCs w:val="20"/>
          <w:lang w:val="sr-Cyrl-RS"/>
        </w:rPr>
        <w:t xml:space="preserve">и </w:t>
      </w:r>
      <w:r w:rsidRPr="00CE2CF6">
        <w:rPr>
          <w:sz w:val="20"/>
          <w:szCs w:val="20"/>
          <w:lang w:val="sr-Cyrl-RS"/>
        </w:rPr>
        <w:t>103. Закона о општем управном поступку („Сл</w:t>
      </w:r>
      <w:r w:rsidR="005B7714" w:rsidRPr="00CE2CF6">
        <w:rPr>
          <w:sz w:val="20"/>
          <w:szCs w:val="20"/>
          <w:lang w:val="sr-Cyrl-RS"/>
        </w:rPr>
        <w:t>.</w:t>
      </w:r>
      <w:r w:rsidRPr="00CE2CF6">
        <w:rPr>
          <w:sz w:val="20"/>
          <w:szCs w:val="20"/>
          <w:lang w:val="sr-Cyrl-RS"/>
        </w:rPr>
        <w:t xml:space="preserve"> гласник РС</w:t>
      </w:r>
      <w:r w:rsidR="005B7714" w:rsidRPr="00CE2CF6">
        <w:rPr>
          <w:lang w:val="sr-Cyrl-RS"/>
        </w:rPr>
        <w:t>”,</w:t>
      </w:r>
      <w:r w:rsidRPr="00CE2CF6">
        <w:rPr>
          <w:sz w:val="20"/>
          <w:szCs w:val="20"/>
          <w:lang w:val="sr-Cyrl-RS"/>
        </w:rPr>
        <w:t xml:space="preserve"> бр. 18/2016, 95/18- аутентично тумачење</w:t>
      </w:r>
      <w:r w:rsidR="005B7714" w:rsidRPr="00CE2CF6">
        <w:rPr>
          <w:sz w:val="20"/>
          <w:szCs w:val="20"/>
          <w:lang w:val="sr-Cyrl-RS"/>
        </w:rPr>
        <w:t xml:space="preserve"> и 2/23 - одлука УС</w:t>
      </w:r>
      <w:r w:rsidRPr="00CE2CF6">
        <w:rPr>
          <w:sz w:val="20"/>
          <w:szCs w:val="20"/>
          <w:lang w:val="sr-Cyrl-RS"/>
        </w:rPr>
        <w:t>) прописано је, између осталог, да у поступку који се покреће по захтеву странке 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92A26F6" w14:textId="77777777" w:rsidR="00FD6302" w:rsidRPr="00CE2CF6" w:rsidRDefault="00FD6302" w:rsidP="00703A37">
      <w:pPr>
        <w:autoSpaceDE w:val="0"/>
        <w:autoSpaceDN w:val="0"/>
        <w:adjustRightInd w:val="0"/>
        <w:spacing w:line="276" w:lineRule="auto"/>
        <w:jc w:val="center"/>
        <w:rPr>
          <w:lang w:val="sr-Cyrl-RS"/>
        </w:rPr>
      </w:pPr>
      <w:r w:rsidRPr="00CE2CF6">
        <w:rPr>
          <w:b/>
          <w:bCs/>
          <w:lang w:val="sr-Cyrl-RS"/>
        </w:rPr>
        <w:lastRenderedPageBreak/>
        <w:t xml:space="preserve">5. Подношење захтева за доделу средстава подстицаја </w:t>
      </w:r>
    </w:p>
    <w:p w14:paraId="41258368" w14:textId="77777777" w:rsidR="00FD6302" w:rsidRPr="00CE2CF6" w:rsidRDefault="00FD6302" w:rsidP="00703A37">
      <w:pPr>
        <w:autoSpaceDE w:val="0"/>
        <w:autoSpaceDN w:val="0"/>
        <w:adjustRightInd w:val="0"/>
        <w:spacing w:line="276" w:lineRule="auto"/>
        <w:jc w:val="center"/>
        <w:rPr>
          <w:lang w:val="sr-Cyrl-RS"/>
        </w:rPr>
      </w:pPr>
    </w:p>
    <w:p w14:paraId="572F1707" w14:textId="4D6AC64E" w:rsidR="00356FDD" w:rsidRPr="00CE2CF6" w:rsidRDefault="00356FDD" w:rsidP="00703A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>Захтев са пратећом документацијом прилаже се у оригиналу или овереној фот</w:t>
      </w:r>
      <w:r w:rsidR="00597958" w:rsidRPr="00CE2CF6">
        <w:rPr>
          <w:rFonts w:eastAsia="Calibri"/>
          <w:lang w:val="sr-Cyrl-RS"/>
        </w:rPr>
        <w:t>о</w:t>
      </w:r>
      <w:r w:rsidRPr="00CE2CF6">
        <w:rPr>
          <w:rFonts w:eastAsia="Calibri"/>
          <w:lang w:val="sr-Cyrl-RS"/>
        </w:rPr>
        <w:t>копији, осим докумен</w:t>
      </w:r>
      <w:r w:rsidR="00E82458" w:rsidRPr="00CE2CF6">
        <w:rPr>
          <w:rFonts w:eastAsia="Calibri"/>
          <w:lang w:val="sr-Cyrl-RS"/>
        </w:rPr>
        <w:t>а</w:t>
      </w:r>
      <w:r w:rsidRPr="00CE2CF6">
        <w:rPr>
          <w:rFonts w:eastAsia="Calibri"/>
          <w:lang w:val="sr-Cyrl-RS"/>
        </w:rPr>
        <w:t>та за кој</w:t>
      </w:r>
      <w:r w:rsidR="00597958" w:rsidRPr="00CE2CF6">
        <w:rPr>
          <w:rFonts w:eastAsia="Calibri"/>
          <w:lang w:val="sr-Cyrl-RS"/>
        </w:rPr>
        <w:t>а</w:t>
      </w:r>
      <w:r w:rsidRPr="00CE2CF6">
        <w:rPr>
          <w:rFonts w:eastAsia="Calibri"/>
          <w:lang w:val="sr-Cyrl-RS"/>
        </w:rPr>
        <w:t xml:space="preserve"> пише да мо</w:t>
      </w:r>
      <w:r w:rsidR="00301813" w:rsidRPr="00CE2CF6">
        <w:rPr>
          <w:rFonts w:eastAsia="Calibri"/>
          <w:lang w:val="sr-Cyrl-RS"/>
        </w:rPr>
        <w:t>гу</w:t>
      </w:r>
      <w:r w:rsidRPr="00CE2CF6">
        <w:rPr>
          <w:rFonts w:eastAsia="Calibri"/>
          <w:lang w:val="sr-Cyrl-RS"/>
        </w:rPr>
        <w:t xml:space="preserve"> бити достављена копија.</w:t>
      </w:r>
      <w:r w:rsidRPr="00CE2CF6">
        <w:rPr>
          <w:lang w:val="sr-Cyrl-RS" w:eastAsia="en-GB"/>
        </w:rPr>
        <w:t xml:space="preserve">  </w:t>
      </w:r>
    </w:p>
    <w:p w14:paraId="4493571C" w14:textId="77777777" w:rsidR="005217BF" w:rsidRPr="00CE2CF6" w:rsidRDefault="00FD6302" w:rsidP="00703A3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Захтев са </w:t>
      </w:r>
      <w:bookmarkStart w:id="4" w:name="_Hlk219303125"/>
      <w:r w:rsidR="00713F78" w:rsidRPr="00CE2CF6">
        <w:rPr>
          <w:lang w:val="sr-Cyrl-RS"/>
        </w:rPr>
        <w:t>пратећом</w:t>
      </w:r>
      <w:r w:rsidRPr="00CE2CF6">
        <w:rPr>
          <w:lang w:val="sr-Cyrl-RS"/>
        </w:rPr>
        <w:t xml:space="preserve"> документацијом </w:t>
      </w:r>
      <w:bookmarkEnd w:id="4"/>
      <w:r w:rsidRPr="00CE2CF6">
        <w:rPr>
          <w:lang w:val="sr-Cyrl-RS"/>
        </w:rPr>
        <w:t>се доставља Министарству, Сектор за туризам, Омладинских бригада 1, Београд, искључиво путем поште или преко писарнице Министарства.</w:t>
      </w:r>
    </w:p>
    <w:p w14:paraId="6381B8C4" w14:textId="77777777" w:rsidR="0007291F" w:rsidRPr="00CE2CF6" w:rsidRDefault="00FD6302" w:rsidP="00703A3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Корисник</w:t>
      </w:r>
      <w:r w:rsidR="002207F3" w:rsidRPr="00CE2CF6">
        <w:rPr>
          <w:lang w:val="sr-Cyrl-RS"/>
        </w:rPr>
        <w:t xml:space="preserve"> </w:t>
      </w:r>
      <w:r w:rsidRPr="00CE2CF6">
        <w:rPr>
          <w:lang w:val="sr-Cyrl-RS"/>
        </w:rPr>
        <w:t>може</w:t>
      </w:r>
      <w:r w:rsidR="002207F3" w:rsidRPr="00CE2CF6">
        <w:rPr>
          <w:lang w:val="sr-Cyrl-RS"/>
        </w:rPr>
        <w:t xml:space="preserve"> </w:t>
      </w:r>
      <w:r w:rsidRPr="00CE2CF6">
        <w:rPr>
          <w:lang w:val="sr-Cyrl-RS"/>
        </w:rPr>
        <w:t>да оствари право</w:t>
      </w:r>
      <w:r w:rsidR="005217BF" w:rsidRPr="00CE2CF6">
        <w:rPr>
          <w:lang w:val="sr-Cyrl-RS"/>
        </w:rPr>
        <w:t xml:space="preserve"> на доделу средстава подстицаја само за један инвестициони пројекат.</w:t>
      </w:r>
    </w:p>
    <w:p w14:paraId="029A311E" w14:textId="6F8E3543" w:rsidR="00FD6302" w:rsidRPr="00CE2CF6" w:rsidRDefault="00FD6302" w:rsidP="00703A37">
      <w:pPr>
        <w:tabs>
          <w:tab w:val="left" w:pos="5245"/>
        </w:tabs>
        <w:spacing w:line="276" w:lineRule="auto"/>
        <w:ind w:firstLine="709"/>
        <w:jc w:val="both"/>
      </w:pPr>
      <w:r w:rsidRPr="00CE2CF6">
        <w:rPr>
          <w:lang w:val="sr-Cyrl-RS"/>
        </w:rPr>
        <w:t xml:space="preserve">Захтев </w:t>
      </w:r>
      <w:r w:rsidR="00713F78" w:rsidRPr="00CE2CF6">
        <w:rPr>
          <w:lang w:val="sr-Cyrl-RS"/>
        </w:rPr>
        <w:t>са пратећом</w:t>
      </w:r>
      <w:r w:rsidRPr="00CE2CF6">
        <w:rPr>
          <w:lang w:val="sr-Cyrl-RS"/>
        </w:rPr>
        <w:t xml:space="preserve"> документациј</w:t>
      </w:r>
      <w:r w:rsidR="00713F78" w:rsidRPr="00CE2CF6">
        <w:rPr>
          <w:lang w:val="sr-Cyrl-RS"/>
        </w:rPr>
        <w:t>ом</w:t>
      </w:r>
      <w:r w:rsidRPr="00CE2CF6">
        <w:rPr>
          <w:lang w:val="sr-Cyrl-RS"/>
        </w:rPr>
        <w:t xml:space="preserve"> остај</w:t>
      </w:r>
      <w:r w:rsidR="00713F78" w:rsidRPr="00CE2CF6">
        <w:rPr>
          <w:lang w:val="sr-Cyrl-RS"/>
        </w:rPr>
        <w:t>е</w:t>
      </w:r>
      <w:r w:rsidRPr="00CE2CF6">
        <w:rPr>
          <w:lang w:val="sr-Cyrl-RS"/>
        </w:rPr>
        <w:t xml:space="preserve"> трајно у архиви Министарства и не враћа се подносиоцу</w:t>
      </w:r>
      <w:r w:rsidR="00C92384" w:rsidRPr="00CE2CF6">
        <w:rPr>
          <w:lang w:val="sr-Cyrl-RS"/>
        </w:rPr>
        <w:t>, изузев инструмената обезбеђења</w:t>
      </w:r>
      <w:r w:rsidR="00ED3888" w:rsidRPr="00CE2CF6">
        <w:rPr>
          <w:lang w:val="sr-Cyrl-RS"/>
        </w:rPr>
        <w:t xml:space="preserve"> кој</w:t>
      </w:r>
      <w:r w:rsidR="00301813" w:rsidRPr="00CE2CF6">
        <w:rPr>
          <w:lang w:val="sr-Cyrl-RS"/>
        </w:rPr>
        <w:t>а</w:t>
      </w:r>
      <w:r w:rsidR="00ED3888" w:rsidRPr="00CE2CF6">
        <w:rPr>
          <w:lang w:val="sr-Cyrl-RS"/>
        </w:rPr>
        <w:t xml:space="preserve">, након последњег Извештаја </w:t>
      </w:r>
      <w:r w:rsidR="004F28CB" w:rsidRPr="00CE2CF6">
        <w:rPr>
          <w:lang w:val="sr-Cyrl-RS"/>
        </w:rPr>
        <w:t>мониторинга</w:t>
      </w:r>
      <w:r w:rsidR="00ED3888" w:rsidRPr="00CE2CF6">
        <w:rPr>
          <w:lang w:val="sr-Cyrl-RS"/>
        </w:rPr>
        <w:t xml:space="preserve">, у случају закључка са позитивним мишљењем, Министарство, у року од 15 дана од дана достављања последњег Извештаја </w:t>
      </w:r>
      <w:r w:rsidR="004F28CB" w:rsidRPr="00CE2CF6">
        <w:rPr>
          <w:lang w:val="sr-Cyrl-RS"/>
        </w:rPr>
        <w:t>мониторинга</w:t>
      </w:r>
      <w:r w:rsidR="00ED3888" w:rsidRPr="00CE2CF6">
        <w:rPr>
          <w:lang w:val="sr-Cyrl-RS"/>
        </w:rPr>
        <w:t xml:space="preserve">, враћа </w:t>
      </w:r>
      <w:r w:rsidR="00301813" w:rsidRPr="00CE2CF6">
        <w:rPr>
          <w:lang w:val="sr-Cyrl-RS"/>
        </w:rPr>
        <w:t>Кориснику</w:t>
      </w:r>
      <w:r w:rsidR="00ED3888" w:rsidRPr="00CE2CF6">
        <w:rPr>
          <w:lang w:val="sr-Cyrl-RS"/>
        </w:rPr>
        <w:t>.</w:t>
      </w:r>
    </w:p>
    <w:p w14:paraId="705AED50" w14:textId="7C45D4CF" w:rsidR="0054791D" w:rsidRPr="00CE2CF6" w:rsidRDefault="00FD6302" w:rsidP="00703A3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Рок за подношење </w:t>
      </w:r>
      <w:r w:rsidR="00A950F3" w:rsidRPr="00CE2CF6">
        <w:rPr>
          <w:lang w:val="sr-Cyrl-RS"/>
        </w:rPr>
        <w:t>З</w:t>
      </w:r>
      <w:r w:rsidRPr="00CE2CF6">
        <w:rPr>
          <w:lang w:val="sr-Cyrl-RS"/>
        </w:rPr>
        <w:t xml:space="preserve">ахтева </w:t>
      </w:r>
      <w:r w:rsidR="00A950F3" w:rsidRPr="00CE2CF6">
        <w:rPr>
          <w:lang w:val="sr-Cyrl-RS"/>
        </w:rPr>
        <w:t>са пратећом документацијом</w:t>
      </w:r>
      <w:r w:rsidRPr="00CE2CF6">
        <w:rPr>
          <w:lang w:val="sr-Cyrl-RS"/>
        </w:rPr>
        <w:t xml:space="preserve"> је </w:t>
      </w:r>
      <w:r w:rsidR="004D2508" w:rsidRPr="00CE2CF6">
        <w:rPr>
          <w:b/>
          <w:bCs/>
          <w:lang w:val="en-GB"/>
        </w:rPr>
        <w:t>24.3.</w:t>
      </w:r>
      <w:r w:rsidRPr="00CE2CF6">
        <w:rPr>
          <w:b/>
          <w:bCs/>
          <w:lang w:val="sr-Cyrl-RS"/>
        </w:rPr>
        <w:t>202</w:t>
      </w:r>
      <w:r w:rsidR="000D11C7" w:rsidRPr="00CE2CF6">
        <w:rPr>
          <w:b/>
          <w:bCs/>
          <w:lang w:val="sr-Cyrl-RS"/>
        </w:rPr>
        <w:t>6</w:t>
      </w:r>
      <w:r w:rsidR="00EA5D37" w:rsidRPr="00CE2CF6">
        <w:rPr>
          <w:b/>
          <w:lang w:val="sr-Cyrl-RS"/>
        </w:rPr>
        <w:t>.</w:t>
      </w:r>
      <w:r w:rsidRPr="00CE2CF6">
        <w:rPr>
          <w:b/>
          <w:lang w:val="sr-Cyrl-RS"/>
        </w:rPr>
        <w:t xml:space="preserve"> године</w:t>
      </w:r>
      <w:r w:rsidR="00FB5C2F" w:rsidRPr="00CE2CF6">
        <w:rPr>
          <w:lang w:val="sr-Cyrl-RS"/>
        </w:rPr>
        <w:t>.</w:t>
      </w:r>
      <w:r w:rsidRPr="00CE2CF6">
        <w:rPr>
          <w:lang w:val="sr-Cyrl-RS"/>
        </w:rPr>
        <w:t xml:space="preserve"> </w:t>
      </w:r>
    </w:p>
    <w:p w14:paraId="6B4F16B7" w14:textId="3515E6D5" w:rsidR="00FD6302" w:rsidRPr="00CE2CF6" w:rsidRDefault="00FD6302" w:rsidP="00703A37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Неблаговремени и неуредни </w:t>
      </w:r>
      <w:r w:rsidR="0052310D" w:rsidRPr="00CE2CF6">
        <w:rPr>
          <w:lang w:val="sr-Cyrl-RS"/>
        </w:rPr>
        <w:t>З</w:t>
      </w:r>
      <w:r w:rsidRPr="00CE2CF6">
        <w:rPr>
          <w:lang w:val="sr-Cyrl-RS"/>
        </w:rPr>
        <w:t xml:space="preserve">ахтев, као и </w:t>
      </w:r>
      <w:r w:rsidR="0052310D" w:rsidRPr="00CE2CF6">
        <w:rPr>
          <w:lang w:val="sr-Cyrl-RS"/>
        </w:rPr>
        <w:t>З</w:t>
      </w:r>
      <w:r w:rsidRPr="00CE2CF6">
        <w:rPr>
          <w:lang w:val="sr-Cyrl-RS"/>
        </w:rPr>
        <w:t>ахтеви који не садрже комплетну документацију</w:t>
      </w:r>
      <w:r w:rsidR="000D11C7" w:rsidRPr="00CE2CF6">
        <w:rPr>
          <w:lang w:val="sr-Cyrl-RS"/>
        </w:rPr>
        <w:t xml:space="preserve">, </w:t>
      </w:r>
      <w:r w:rsidRPr="00CE2CF6">
        <w:rPr>
          <w:lang w:val="sr-Cyrl-RS"/>
        </w:rPr>
        <w:t>неће бити узети у разматрање.</w:t>
      </w:r>
    </w:p>
    <w:p w14:paraId="5427569A" w14:textId="71763A27" w:rsidR="00C92384" w:rsidRPr="00CE2CF6" w:rsidRDefault="00C92384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Изузетно, у случају неуредног Захтева или некомплетне документације</w:t>
      </w:r>
      <w:r w:rsidR="00301813" w:rsidRPr="00CE2CF6">
        <w:rPr>
          <w:lang w:val="sr-Cyrl-RS"/>
        </w:rPr>
        <w:t>,</w:t>
      </w:r>
      <w:r w:rsidRPr="00CE2CF6">
        <w:rPr>
          <w:lang w:val="sr-Cyrl-RS"/>
        </w:rPr>
        <w:t xml:space="preserve"> Министарство може да обавести подносиоца Захтева, да у року, који не може бити краћи од 15 дана од дана електронског слања обавештења, исти уреди, односно да комплетира документацију, у противном Захтев неће бити узет у разматрање. </w:t>
      </w:r>
    </w:p>
    <w:p w14:paraId="04322FFC" w14:textId="772936AA" w:rsidR="00453923" w:rsidRPr="00CE2CF6" w:rsidRDefault="00356FDD" w:rsidP="00703A37">
      <w:pPr>
        <w:spacing w:line="276" w:lineRule="auto"/>
        <w:ind w:firstLine="708"/>
        <w:jc w:val="both"/>
        <w:rPr>
          <w:bCs/>
          <w:lang w:val="en-GB"/>
        </w:rPr>
      </w:pPr>
      <w:r w:rsidRPr="00CE2CF6">
        <w:rPr>
          <w:bCs/>
          <w:lang w:val="sr-Cyrl-RS"/>
        </w:rPr>
        <w:t xml:space="preserve">Све додатне информације могу се добити </w:t>
      </w:r>
      <w:r w:rsidR="004D2508" w:rsidRPr="00CE2CF6">
        <w:rPr>
          <w:bCs/>
          <w:lang w:val="sr-Cyrl-RS"/>
        </w:rPr>
        <w:t xml:space="preserve">слањем упита на адресу </w:t>
      </w:r>
      <w:hyperlink r:id="rId8" w:history="1">
        <w:r w:rsidR="004D2508" w:rsidRPr="00CE2CF6">
          <w:rPr>
            <w:rStyle w:val="Hyperlink"/>
            <w:bCs/>
            <w:lang w:val="sr-Latn-RS"/>
          </w:rPr>
          <w:t>projekti.turizam</w:t>
        </w:r>
        <w:r w:rsidR="004D2508" w:rsidRPr="00CE2CF6">
          <w:rPr>
            <w:rStyle w:val="Hyperlink"/>
            <w:bCs/>
            <w:lang w:val="en-GB"/>
          </w:rPr>
          <w:t>@mto.gov.rs</w:t>
        </w:r>
      </w:hyperlink>
      <w:r w:rsidR="004D2508" w:rsidRPr="00CE2CF6">
        <w:rPr>
          <w:bCs/>
          <w:lang w:val="sr-Latn-RS"/>
        </w:rPr>
        <w:t>.</w:t>
      </w:r>
      <w:r w:rsidR="004D2508" w:rsidRPr="00CE2CF6">
        <w:rPr>
          <w:bCs/>
          <w:lang w:val="en-GB"/>
        </w:rPr>
        <w:t xml:space="preserve"> </w:t>
      </w:r>
    </w:p>
    <w:p w14:paraId="14678874" w14:textId="77777777" w:rsidR="00016638" w:rsidRPr="00CE2CF6" w:rsidRDefault="00016638" w:rsidP="00703A37">
      <w:pPr>
        <w:spacing w:line="276" w:lineRule="auto"/>
        <w:ind w:firstLine="708"/>
        <w:jc w:val="both"/>
        <w:rPr>
          <w:lang w:val="sr-Cyrl-RS"/>
        </w:rPr>
      </w:pPr>
    </w:p>
    <w:p w14:paraId="62EA7C91" w14:textId="77777777" w:rsidR="00453923" w:rsidRPr="00CE2CF6" w:rsidRDefault="00453923" w:rsidP="00703A37">
      <w:pPr>
        <w:pStyle w:val="ListParagraph"/>
        <w:numPr>
          <w:ilvl w:val="0"/>
          <w:numId w:val="12"/>
        </w:numPr>
        <w:tabs>
          <w:tab w:val="left" w:pos="9072"/>
        </w:tabs>
        <w:spacing w:line="276" w:lineRule="auto"/>
        <w:ind w:left="567" w:right="327"/>
        <w:jc w:val="center"/>
        <w:rPr>
          <w:b/>
          <w:lang w:val="sr-Cyrl-RS"/>
        </w:rPr>
      </w:pPr>
      <w:r w:rsidRPr="00CE2CF6">
        <w:rPr>
          <w:b/>
          <w:lang w:val="sr-Cyrl-RS"/>
        </w:rPr>
        <w:t>Критеријуми за одобравање</w:t>
      </w:r>
      <w:r w:rsidR="00970264" w:rsidRPr="00CE2CF6">
        <w:rPr>
          <w:b/>
          <w:lang w:val="sr-Cyrl-RS"/>
        </w:rPr>
        <w:t xml:space="preserve"> средстава подстицаја</w:t>
      </w:r>
    </w:p>
    <w:p w14:paraId="58B9A9E1" w14:textId="77777777" w:rsidR="00453923" w:rsidRPr="00CE2CF6" w:rsidRDefault="00453923" w:rsidP="00703A37">
      <w:pPr>
        <w:tabs>
          <w:tab w:val="left" w:pos="9072"/>
        </w:tabs>
        <w:spacing w:line="276" w:lineRule="auto"/>
        <w:ind w:left="567" w:right="327"/>
        <w:rPr>
          <w:b/>
          <w:lang w:val="sr-Cyrl-RS"/>
        </w:rPr>
      </w:pPr>
    </w:p>
    <w:p w14:paraId="65B70975" w14:textId="77777777" w:rsidR="00590766" w:rsidRPr="00CE2CF6" w:rsidRDefault="00590766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Критеријуми који се цене код одобравања средстава подстицаја:</w:t>
      </w:r>
    </w:p>
    <w:p w14:paraId="39F2BCD9" w14:textId="77777777" w:rsidR="00590766" w:rsidRPr="00CE2CF6" w:rsidRDefault="00590766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1) референце Корисника (препознатљивост на тржишту, досадашња искуства и успешност у реализацији инвестиционих пројеката и сл.); </w:t>
      </w:r>
    </w:p>
    <w:p w14:paraId="3043A786" w14:textId="77777777" w:rsidR="00590766" w:rsidRPr="00CE2CF6" w:rsidRDefault="00590766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2) референце међународног хотелског ланца (препознатљивост на тржишту, укључујући обим глобалне мреже, присуство на тржиштима, стандардизацију пословања);</w:t>
      </w:r>
    </w:p>
    <w:p w14:paraId="2E7E9F97" w14:textId="77777777" w:rsidR="00590766" w:rsidRPr="00CE2CF6" w:rsidRDefault="00590766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3) финансијско-тржишна оцена инвестиционог пројекта (извори финансирања, ликвидност, профитабилност, одрживост и период повраћаја инвестиције и др.);</w:t>
      </w:r>
    </w:p>
    <w:p w14:paraId="4ABD2A83" w14:textId="77777777" w:rsidR="00590766" w:rsidRPr="00CE2CF6" w:rsidRDefault="00590766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4)</w:t>
      </w:r>
      <w:r w:rsidR="00F36575" w:rsidRPr="00CE2CF6">
        <w:rPr>
          <w:lang w:val="sr-Cyrl-RS"/>
        </w:rPr>
        <w:t xml:space="preserve"> </w:t>
      </w:r>
      <w:r w:rsidRPr="00CE2CF6">
        <w:rPr>
          <w:lang w:val="sr-Cyrl-RS"/>
        </w:rPr>
        <w:t>допринос стварања нових могућности за радно ангажовање локалног становништва;</w:t>
      </w:r>
    </w:p>
    <w:p w14:paraId="7CED3770" w14:textId="7F34A1EB" w:rsidR="00900123" w:rsidRPr="00CE2CF6" w:rsidRDefault="00590766" w:rsidP="00900123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5) испуњеност циљева и усклађеност инвестиционог пројекта са Стратегијом развоја туризма и другим планским документима из области туризма.</w:t>
      </w:r>
    </w:p>
    <w:p w14:paraId="765A839E" w14:textId="7879D304" w:rsidR="0042420D" w:rsidRPr="00CE2CF6" w:rsidRDefault="0042420D" w:rsidP="00703A37">
      <w:pPr>
        <w:spacing w:line="276" w:lineRule="auto"/>
        <w:ind w:firstLine="709"/>
        <w:jc w:val="both"/>
        <w:rPr>
          <w:bCs/>
          <w:lang w:val="sr-Cyrl-RS"/>
        </w:rPr>
      </w:pPr>
      <w:r w:rsidRPr="00CE2CF6">
        <w:rPr>
          <w:lang w:val="sr-Cyrl-RS"/>
        </w:rPr>
        <w:t xml:space="preserve">Радну групу за одлучивање о </w:t>
      </w:r>
      <w:r w:rsidRPr="00CE2CF6">
        <w:rPr>
          <w:rFonts w:eastAsiaTheme="minorEastAsia"/>
          <w:lang w:val="sr-Cyrl-RS"/>
        </w:rPr>
        <w:t xml:space="preserve">додели и коришћењу средстава подстицаја </w:t>
      </w:r>
      <w:r w:rsidRPr="00CE2CF6">
        <w:rPr>
          <w:bCs/>
          <w:lang w:val="sr-Cyrl-RS"/>
        </w:rPr>
        <w:t xml:space="preserve">решењем образује министар (у даљем тексту: </w:t>
      </w:r>
      <w:r w:rsidRPr="00CE2CF6">
        <w:rPr>
          <w:lang w:val="sr-Cyrl-RS"/>
        </w:rPr>
        <w:t>Радна група</w:t>
      </w:r>
      <w:r w:rsidRPr="00CE2CF6">
        <w:rPr>
          <w:bCs/>
          <w:lang w:val="sr-Cyrl-RS"/>
        </w:rPr>
        <w:t xml:space="preserve">). </w:t>
      </w:r>
    </w:p>
    <w:p w14:paraId="09784C2C" w14:textId="5CD112EF" w:rsidR="002F58A2" w:rsidRPr="00CE2CF6" w:rsidRDefault="008626A1" w:rsidP="00900123">
      <w:pPr>
        <w:spacing w:line="276" w:lineRule="auto"/>
        <w:ind w:firstLine="708"/>
        <w:jc w:val="both"/>
        <w:rPr>
          <w:lang w:val="sr-Cyrl-RS"/>
        </w:rPr>
      </w:pPr>
      <w:bookmarkStart w:id="5" w:name="_Hlk218759250"/>
      <w:r w:rsidRPr="00CE2CF6">
        <w:rPr>
          <w:lang w:val="sr-Cyrl-RS"/>
        </w:rPr>
        <w:t xml:space="preserve">Радна група </w:t>
      </w:r>
      <w:r w:rsidR="00900123" w:rsidRPr="00CE2CF6">
        <w:rPr>
          <w:lang w:val="sr-Cyrl-RS"/>
        </w:rPr>
        <w:t xml:space="preserve">врши оцену </w:t>
      </w:r>
      <w:r w:rsidRPr="00CE2CF6">
        <w:rPr>
          <w:lang w:val="sr-Cyrl-RS"/>
        </w:rPr>
        <w:t>критерију</w:t>
      </w:r>
      <w:r w:rsidR="00900123" w:rsidRPr="00CE2CF6">
        <w:rPr>
          <w:lang w:val="sr-Cyrl-RS"/>
        </w:rPr>
        <w:t>ма</w:t>
      </w:r>
      <w:r w:rsidRPr="00CE2CF6">
        <w:rPr>
          <w:lang w:val="sr-Cyrl-RS"/>
        </w:rPr>
        <w:t xml:space="preserve"> под 1) </w:t>
      </w:r>
      <w:r w:rsidR="00900123" w:rsidRPr="00CE2CF6">
        <w:rPr>
          <w:lang w:val="sr-Cyrl-RS"/>
        </w:rPr>
        <w:t>на основу</w:t>
      </w:r>
      <w:r w:rsidRPr="00CE2CF6">
        <w:rPr>
          <w:lang w:val="sr-Cyrl-RS"/>
        </w:rPr>
        <w:t xml:space="preserve"> </w:t>
      </w:r>
      <w:r w:rsidR="00900123" w:rsidRPr="00CE2CF6">
        <w:rPr>
          <w:lang w:val="sr-Cyrl-RS"/>
        </w:rPr>
        <w:t xml:space="preserve">података садржаних </w:t>
      </w:r>
      <w:r w:rsidRPr="00CE2CF6">
        <w:rPr>
          <w:lang w:val="sr-Cyrl-RS"/>
        </w:rPr>
        <w:t>у Бизнис план</w:t>
      </w:r>
      <w:r w:rsidR="00900123" w:rsidRPr="00CE2CF6">
        <w:rPr>
          <w:lang w:val="sr-Cyrl-RS"/>
        </w:rPr>
        <w:t>у</w:t>
      </w:r>
      <w:r w:rsidRPr="00CE2CF6">
        <w:rPr>
          <w:lang w:val="sr-Cyrl-RS"/>
        </w:rPr>
        <w:t xml:space="preserve">. </w:t>
      </w:r>
    </w:p>
    <w:bookmarkEnd w:id="5"/>
    <w:p w14:paraId="670EEC8E" w14:textId="7F24195C" w:rsidR="0009522B" w:rsidRPr="00CE2CF6" w:rsidRDefault="0040567F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lastRenderedPageBreak/>
        <w:t>Радна група</w:t>
      </w:r>
      <w:r w:rsidR="00900123" w:rsidRPr="00CE2CF6">
        <w:rPr>
          <w:lang w:val="sr-Cyrl-RS"/>
        </w:rPr>
        <w:t xml:space="preserve"> врши оцену</w:t>
      </w:r>
      <w:r w:rsidRPr="00CE2CF6">
        <w:rPr>
          <w:lang w:val="sr-Cyrl-RS"/>
        </w:rPr>
        <w:t xml:space="preserve"> критеријум</w:t>
      </w:r>
      <w:r w:rsidR="00900123" w:rsidRPr="00CE2CF6">
        <w:rPr>
          <w:lang w:val="sr-Cyrl-RS"/>
        </w:rPr>
        <w:t>а</w:t>
      </w:r>
      <w:r w:rsidRPr="00CE2CF6">
        <w:rPr>
          <w:lang w:val="sr-Cyrl-RS"/>
        </w:rPr>
        <w:t xml:space="preserve"> под </w:t>
      </w:r>
      <w:r w:rsidR="0009522B" w:rsidRPr="00CE2CF6">
        <w:rPr>
          <w:lang w:val="sr-Cyrl-RS"/>
        </w:rPr>
        <w:t xml:space="preserve">5) </w:t>
      </w:r>
      <w:r w:rsidR="00F072BD" w:rsidRPr="00CE2CF6">
        <w:rPr>
          <w:lang w:val="sr-Cyrl-RS"/>
        </w:rPr>
        <w:t>на</w:t>
      </w:r>
      <w:r w:rsidR="0009522B" w:rsidRPr="00CE2CF6">
        <w:rPr>
          <w:lang w:val="sr-Cyrl-RS"/>
        </w:rPr>
        <w:t xml:space="preserve"> основу </w:t>
      </w:r>
      <w:r w:rsidR="00534AA7" w:rsidRPr="00CE2CF6">
        <w:rPr>
          <w:lang w:val="sr-Cyrl-RS"/>
        </w:rPr>
        <w:t>и</w:t>
      </w:r>
      <w:r w:rsidR="00F072BD" w:rsidRPr="00CE2CF6">
        <w:rPr>
          <w:lang w:val="sr-Cyrl-RS"/>
        </w:rPr>
        <w:t>зјаве коју корисник доставља у слободној форми.</w:t>
      </w:r>
    </w:p>
    <w:p w14:paraId="19AF3640" w14:textId="3B149436" w:rsidR="006D37D9" w:rsidRPr="00CE2CF6" w:rsidRDefault="006D37D9" w:rsidP="006D37D9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 xml:space="preserve">Радна група врши бодовање критеријума под 2), 3) и 4) на основу показатеља приказаних у </w:t>
      </w:r>
      <w:r w:rsidRPr="00CE2CF6">
        <w:rPr>
          <w:bCs/>
          <w:lang w:val="sr-Cyrl-RS"/>
        </w:rPr>
        <w:t xml:space="preserve">табели, </w:t>
      </w:r>
      <w:r w:rsidRPr="00CE2CF6">
        <w:rPr>
          <w:lang w:val="sr-Cyrl-RS"/>
        </w:rPr>
        <w:t xml:space="preserve">за које је </w:t>
      </w:r>
      <w:r w:rsidR="00F8117B" w:rsidRPr="00CE2CF6">
        <w:rPr>
          <w:lang w:val="sr-Cyrl-RS"/>
        </w:rPr>
        <w:t>К</w:t>
      </w:r>
      <w:r w:rsidRPr="00CE2CF6">
        <w:rPr>
          <w:lang w:val="sr-Cyrl-RS"/>
        </w:rPr>
        <w:t>орисник дужан да достави мерљиве податке у Бизнис плану.</w:t>
      </w:r>
    </w:p>
    <w:p w14:paraId="400C5C05" w14:textId="6DD8E4C0" w:rsidR="000A63C1" w:rsidRPr="00CE2CF6" w:rsidRDefault="000A63C1" w:rsidP="00E46B6A">
      <w:pPr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t>Табела</w:t>
      </w:r>
      <w:r w:rsidR="00E46B6A" w:rsidRPr="00CE2CF6">
        <w:rPr>
          <w:b/>
          <w:bCs/>
          <w:lang w:val="sr-Cyrl-RS"/>
        </w:rPr>
        <w:t xml:space="preserve"> за оцену критеријума 2), 3) и 4)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2998"/>
        <w:gridCol w:w="3847"/>
        <w:gridCol w:w="1850"/>
      </w:tblGrid>
      <w:tr w:rsidR="001743BC" w:rsidRPr="00CE2CF6" w14:paraId="78C082DA" w14:textId="77777777" w:rsidTr="00BB26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D33EB2" w14:textId="77777777" w:rsidR="00BB2686" w:rsidRPr="00CE2CF6" w:rsidRDefault="00BB2686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Ред. бр.</w:t>
            </w:r>
          </w:p>
        </w:tc>
        <w:tc>
          <w:tcPr>
            <w:tcW w:w="0" w:type="auto"/>
            <w:vAlign w:val="center"/>
            <w:hideMark/>
          </w:tcPr>
          <w:p w14:paraId="3F18F520" w14:textId="77777777" w:rsidR="00BB2686" w:rsidRPr="00CE2CF6" w:rsidRDefault="00BB2686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Критеријум</w:t>
            </w:r>
          </w:p>
        </w:tc>
        <w:tc>
          <w:tcPr>
            <w:tcW w:w="0" w:type="auto"/>
            <w:vAlign w:val="center"/>
            <w:hideMark/>
          </w:tcPr>
          <w:p w14:paraId="3B80AAE3" w14:textId="77777777" w:rsidR="00BB2686" w:rsidRPr="00CE2CF6" w:rsidRDefault="00BB2686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14:paraId="52288D45" w14:textId="77777777" w:rsidR="00BB2686" w:rsidRPr="00CE2CF6" w:rsidRDefault="00BB2686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Максималан број бодова</w:t>
            </w:r>
          </w:p>
        </w:tc>
      </w:tr>
      <w:tr w:rsidR="001743BC" w:rsidRPr="00CE2CF6" w14:paraId="3A83A6A1" w14:textId="77777777" w:rsidTr="00BB2686">
        <w:trPr>
          <w:tblCellSpacing w:w="15" w:type="dxa"/>
        </w:trPr>
        <w:tc>
          <w:tcPr>
            <w:tcW w:w="0" w:type="auto"/>
            <w:vAlign w:val="center"/>
          </w:tcPr>
          <w:p w14:paraId="07E0CF0D" w14:textId="70A99A88" w:rsidR="002F0C20" w:rsidRPr="00CE2CF6" w:rsidRDefault="002F0C20" w:rsidP="00703A37">
            <w:pPr>
              <w:spacing w:line="276" w:lineRule="auto"/>
              <w:rPr>
                <w:rStyle w:val="Strong"/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1.</w:t>
            </w:r>
          </w:p>
        </w:tc>
        <w:tc>
          <w:tcPr>
            <w:tcW w:w="0" w:type="auto"/>
            <w:vAlign w:val="center"/>
          </w:tcPr>
          <w:p w14:paraId="5673CF3B" w14:textId="78835894" w:rsidR="002F0C20" w:rsidRPr="00CE2CF6" w:rsidRDefault="002F0C20" w:rsidP="00703A37">
            <w:pPr>
              <w:spacing w:line="276" w:lineRule="auto"/>
              <w:rPr>
                <w:rStyle w:val="Strong"/>
                <w:lang w:val="sr-Cyrl-RS"/>
              </w:rPr>
            </w:pPr>
            <w:r w:rsidRPr="00CE2CF6">
              <w:rPr>
                <w:rStyle w:val="Strong"/>
                <w:lang w:val="sr-Cyrl-RS"/>
              </w:rPr>
              <w:t>Референце Корисника</w:t>
            </w:r>
          </w:p>
        </w:tc>
        <w:tc>
          <w:tcPr>
            <w:tcW w:w="0" w:type="auto"/>
            <w:vAlign w:val="center"/>
          </w:tcPr>
          <w:p w14:paraId="73B7BB45" w14:textId="77777777" w:rsidR="002F0C20" w:rsidRPr="00CE2CF6" w:rsidRDefault="002F0C20" w:rsidP="00703A37">
            <w:pPr>
              <w:spacing w:line="276" w:lineRule="auto"/>
              <w:rPr>
                <w:lang w:val="sr-Cyrl-RS"/>
              </w:rPr>
            </w:pPr>
            <w:r w:rsidRPr="00CE2CF6">
              <w:rPr>
                <w:lang w:val="sr-Cyrl-RS"/>
              </w:rPr>
              <w:t>Препознатљивост на тржишту, досадашња искуства и успешност у реализацији инвестиционих пројеката и сл</w:t>
            </w:r>
            <w:r w:rsidR="002E34E7" w:rsidRPr="00CE2CF6">
              <w:rPr>
                <w:lang w:val="sr-Cyrl-RS"/>
              </w:rPr>
              <w:t>.</w:t>
            </w:r>
          </w:p>
          <w:p w14:paraId="33E1FC67" w14:textId="540C3771" w:rsidR="00C750BB" w:rsidRPr="00CE2CF6" w:rsidRDefault="00C750BB" w:rsidP="00703A37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7F9CB974" w14:textId="2BE03BC0" w:rsidR="002F0C20" w:rsidRPr="00CE2CF6" w:rsidRDefault="002F0C20" w:rsidP="00703A37">
            <w:pPr>
              <w:spacing w:line="276" w:lineRule="auto"/>
              <w:jc w:val="center"/>
              <w:rPr>
                <w:rStyle w:val="Strong"/>
                <w:lang w:val="sr-Cyrl-RS"/>
              </w:rPr>
            </w:pPr>
            <w:r w:rsidRPr="00CE2CF6">
              <w:rPr>
                <w:rStyle w:val="Strong"/>
                <w:lang w:val="sr-Cyrl-RS"/>
              </w:rPr>
              <w:t>Да/Не</w:t>
            </w:r>
            <w:r w:rsidR="002C7157" w:rsidRPr="00CE2CF6">
              <w:rPr>
                <w:rStyle w:val="Strong"/>
                <w:lang w:val="sr-Cyrl-RS"/>
              </w:rPr>
              <w:t xml:space="preserve"> </w:t>
            </w:r>
            <w:r w:rsidR="002C7157" w:rsidRPr="00CE2CF6">
              <w:rPr>
                <w:rStyle w:val="Strong"/>
                <w:b w:val="0"/>
                <w:bCs w:val="0"/>
                <w:lang w:val="sr-Cyrl-RS"/>
              </w:rPr>
              <w:t>(без бодовања)</w:t>
            </w:r>
          </w:p>
        </w:tc>
      </w:tr>
      <w:tr w:rsidR="001743BC" w:rsidRPr="00CE2CF6" w14:paraId="7A2010DB" w14:textId="77777777" w:rsidTr="00BB2686">
        <w:trPr>
          <w:tblCellSpacing w:w="15" w:type="dxa"/>
        </w:trPr>
        <w:tc>
          <w:tcPr>
            <w:tcW w:w="0" w:type="auto"/>
            <w:vAlign w:val="center"/>
          </w:tcPr>
          <w:p w14:paraId="3076CC50" w14:textId="45059C47" w:rsidR="002F0C20" w:rsidRPr="00CE2CF6" w:rsidRDefault="002F0C20" w:rsidP="00703A37">
            <w:pPr>
              <w:spacing w:line="276" w:lineRule="auto"/>
              <w:rPr>
                <w:rStyle w:val="Strong"/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2</w:t>
            </w:r>
            <w:r w:rsidRPr="00CE2CF6">
              <w:rPr>
                <w:rStyle w:val="Strong"/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5888E69D" w14:textId="75DC175C" w:rsidR="002F0C20" w:rsidRPr="00CE2CF6" w:rsidRDefault="002F0C20" w:rsidP="00703A37">
            <w:pPr>
              <w:spacing w:line="276" w:lineRule="auto"/>
              <w:rPr>
                <w:rStyle w:val="Strong"/>
                <w:b w:val="0"/>
                <w:bCs w:val="0"/>
                <w:color w:val="000000"/>
                <w:lang w:val="sr-Cyrl-RS"/>
              </w:rPr>
            </w:pPr>
            <w:r w:rsidRPr="00CE2CF6">
              <w:rPr>
                <w:b/>
                <w:bCs/>
                <w:lang w:val="sr-Cyrl-RS"/>
              </w:rPr>
              <w:t>Референце међународног хотелског ланца</w:t>
            </w:r>
          </w:p>
        </w:tc>
        <w:tc>
          <w:tcPr>
            <w:tcW w:w="0" w:type="auto"/>
            <w:vAlign w:val="center"/>
          </w:tcPr>
          <w:p w14:paraId="1703EECD" w14:textId="77777777" w:rsidR="002F0C20" w:rsidRPr="00CE2CF6" w:rsidRDefault="002F0C20" w:rsidP="00703A37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0CECF92E" w14:textId="3CEF4FDC" w:rsidR="002F0C20" w:rsidRPr="00CE2CF6" w:rsidRDefault="00067918" w:rsidP="00703A37">
            <w:pPr>
              <w:spacing w:line="276" w:lineRule="auto"/>
              <w:jc w:val="center"/>
              <w:rPr>
                <w:rStyle w:val="Strong"/>
                <w:color w:val="000000"/>
                <w:lang w:val="sr-Cyrl-RS"/>
              </w:rPr>
            </w:pPr>
            <w:r w:rsidRPr="00CE2CF6">
              <w:rPr>
                <w:rStyle w:val="Strong"/>
                <w:lang w:val="sr-Cyrl-RS"/>
              </w:rPr>
              <w:t>9</w:t>
            </w:r>
            <w:r w:rsidR="007A2B4B" w:rsidRPr="00CE2CF6">
              <w:rPr>
                <w:rStyle w:val="Strong"/>
                <w:lang w:val="sr-Cyrl-RS"/>
              </w:rPr>
              <w:t>0</w:t>
            </w:r>
          </w:p>
        </w:tc>
      </w:tr>
      <w:tr w:rsidR="001743BC" w:rsidRPr="00CE2CF6" w14:paraId="0945B8E9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8EFE4" w14:textId="0B402962" w:rsidR="00BB2686" w:rsidRPr="00CE2CF6" w:rsidRDefault="002F0C20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2</w:t>
            </w:r>
            <w:r w:rsidR="00BB2686" w:rsidRPr="00CE2CF6">
              <w:rPr>
                <w:rStyle w:val="Strong"/>
                <w:color w:val="000000"/>
                <w:lang w:val="sr-Cyrl-RS"/>
              </w:rPr>
              <w:t>.</w:t>
            </w:r>
            <w:r w:rsidRPr="00CE2CF6">
              <w:rPr>
                <w:rStyle w:val="Strong"/>
                <w:color w:val="000000"/>
                <w:lang w:val="sr-Cyrl-RS"/>
              </w:rPr>
              <w:t>1</w:t>
            </w:r>
            <w:r w:rsidR="00D91183" w:rsidRPr="00CE2CF6">
              <w:rPr>
                <w:rStyle w:val="Strong"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C7B9B2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bookmarkStart w:id="6" w:name="_Hlk219307708"/>
            <w:r w:rsidRPr="00CE2CF6">
              <w:rPr>
                <w:rStyle w:val="Strong"/>
                <w:color w:val="000000"/>
                <w:lang w:val="sr-Cyrl-RS"/>
              </w:rPr>
              <w:t>Квалитет и позиционирање међународног хотелског бренда</w:t>
            </w:r>
            <w:bookmarkEnd w:id="6"/>
          </w:p>
        </w:tc>
        <w:tc>
          <w:tcPr>
            <w:tcW w:w="0" w:type="auto"/>
            <w:vAlign w:val="center"/>
            <w:hideMark/>
          </w:tcPr>
          <w:p w14:paraId="792BC085" w14:textId="37F4AC79" w:rsidR="00BB2686" w:rsidRPr="00CE2CF6" w:rsidRDefault="00196263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Т</w:t>
            </w:r>
            <w:r w:rsidR="00BB2686" w:rsidRPr="00CE2CF6">
              <w:rPr>
                <w:color w:val="000000"/>
                <w:lang w:val="sr-Cyrl-RS"/>
              </w:rPr>
              <w:t>ржишни сегмент бренда (upscale, upper-upscale), степен међународне препознатљивости, географски домет, обим глобалне мреже, постојање међународних система продаје и loyalty програма, као и репутацију бренда у упоредивим тржиштима.</w:t>
            </w:r>
          </w:p>
        </w:tc>
        <w:tc>
          <w:tcPr>
            <w:tcW w:w="0" w:type="auto"/>
            <w:vAlign w:val="center"/>
            <w:hideMark/>
          </w:tcPr>
          <w:p w14:paraId="1E85ACDF" w14:textId="64C06ADB" w:rsidR="00BB2686" w:rsidRPr="00CE2CF6" w:rsidRDefault="007A2B4B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lang w:val="sr-Cyrl-RS"/>
              </w:rPr>
              <w:t>35</w:t>
            </w:r>
          </w:p>
        </w:tc>
      </w:tr>
      <w:tr w:rsidR="001743BC" w:rsidRPr="00CE2CF6" w14:paraId="2063E2BF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38A93" w14:textId="3009CE6E" w:rsidR="00BB2686" w:rsidRPr="00CE2CF6" w:rsidRDefault="002F0C20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2.1.1.</w:t>
            </w:r>
          </w:p>
        </w:tc>
        <w:tc>
          <w:tcPr>
            <w:tcW w:w="0" w:type="auto"/>
            <w:vAlign w:val="center"/>
            <w:hideMark/>
          </w:tcPr>
          <w:p w14:paraId="187811A1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Тржишни сегмент и категорија бренда</w:t>
            </w:r>
          </w:p>
        </w:tc>
        <w:tc>
          <w:tcPr>
            <w:tcW w:w="0" w:type="auto"/>
            <w:vAlign w:val="center"/>
            <w:hideMark/>
          </w:tcPr>
          <w:p w14:paraId="51491A5D" w14:textId="6DDD049D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Upper-upscale или премиум 4</w:t>
            </w:r>
            <w:r w:rsidRPr="00CE2CF6">
              <w:rPr>
                <w:rFonts w:ascii="Segoe UI Symbol" w:hAnsi="Segoe UI Symbol" w:cs="Segoe UI Symbol"/>
                <w:color w:val="000000"/>
                <w:lang w:val="sr-Cyrl-RS"/>
              </w:rPr>
              <w:t>★</w:t>
            </w:r>
            <w:r w:rsidRPr="00CE2CF6">
              <w:rPr>
                <w:color w:val="000000"/>
                <w:lang w:val="sr-Cyrl-RS"/>
              </w:rPr>
              <w:t>+ међународни бренд</w:t>
            </w:r>
            <w:r w:rsidR="004129E1" w:rsidRPr="00CE2CF6">
              <w:rPr>
                <w:color w:val="000000"/>
                <w:lang w:val="sr-Cyrl-RS"/>
              </w:rPr>
              <w:t>: 15 бодо</w:t>
            </w:r>
            <w:r w:rsidR="003619C2" w:rsidRPr="00CE2CF6">
              <w:rPr>
                <w:color w:val="000000"/>
                <w:lang w:val="sr-Cyrl-RS"/>
              </w:rPr>
              <w:t>в</w:t>
            </w:r>
            <w:r w:rsidR="004129E1" w:rsidRPr="00CE2CF6">
              <w:rPr>
                <w:color w:val="000000"/>
                <w:lang w:val="sr-Cyrl-RS"/>
              </w:rPr>
              <w:t>а</w:t>
            </w:r>
            <w:r w:rsidRPr="00CE2CF6">
              <w:rPr>
                <w:color w:val="000000"/>
                <w:lang w:val="sr-Cyrl-RS"/>
              </w:rPr>
              <w:t>; стандардни upscale 4</w:t>
            </w:r>
            <w:r w:rsidRPr="00CE2CF6">
              <w:rPr>
                <w:rFonts w:ascii="Segoe UI Symbol" w:hAnsi="Segoe UI Symbol" w:cs="Segoe UI Symbol"/>
                <w:color w:val="000000"/>
                <w:lang w:val="sr-Cyrl-RS"/>
              </w:rPr>
              <w:t>★</w:t>
            </w:r>
            <w:r w:rsidRPr="00CE2CF6">
              <w:rPr>
                <w:color w:val="000000"/>
                <w:lang w:val="sr-Cyrl-RS"/>
              </w:rPr>
              <w:t xml:space="preserve"> бренд</w:t>
            </w:r>
            <w:r w:rsidR="004129E1" w:rsidRPr="00CE2CF6">
              <w:rPr>
                <w:color w:val="000000"/>
                <w:lang w:val="sr-Cyrl-RS"/>
              </w:rPr>
              <w:t>: 10 бодо</w:t>
            </w:r>
            <w:r w:rsidR="003619C2" w:rsidRPr="00CE2CF6">
              <w:rPr>
                <w:color w:val="000000"/>
                <w:lang w:val="sr-Cyrl-RS"/>
              </w:rPr>
              <w:t>в</w:t>
            </w:r>
            <w:r w:rsidR="004129E1" w:rsidRPr="00CE2CF6">
              <w:rPr>
                <w:color w:val="000000"/>
                <w:lang w:val="sr-Cyrl-RS"/>
              </w:rPr>
              <w:t>а</w:t>
            </w:r>
            <w:r w:rsidRPr="00CE2CF6">
              <w:rPr>
                <w:color w:val="000000"/>
                <w:lang w:val="sr-Cyrl-RS"/>
              </w:rPr>
              <w:t>; midscale бренд</w:t>
            </w:r>
            <w:r w:rsidR="004129E1" w:rsidRPr="00CE2CF6">
              <w:rPr>
                <w:color w:val="000000"/>
                <w:lang w:val="sr-Cyrl-RS"/>
              </w:rPr>
              <w:t>: 5 бодо</w:t>
            </w:r>
            <w:r w:rsidR="003619C2" w:rsidRPr="00CE2CF6">
              <w:rPr>
                <w:color w:val="000000"/>
                <w:lang w:val="sr-Cyrl-RS"/>
              </w:rPr>
              <w:t>в</w:t>
            </w:r>
            <w:r w:rsidR="004129E1" w:rsidRPr="00CE2CF6">
              <w:rPr>
                <w:color w:val="000000"/>
                <w:lang w:val="sr-Cyrl-RS"/>
              </w:rPr>
              <w:t>а.</w:t>
            </w:r>
          </w:p>
        </w:tc>
        <w:tc>
          <w:tcPr>
            <w:tcW w:w="0" w:type="auto"/>
            <w:vAlign w:val="center"/>
            <w:hideMark/>
          </w:tcPr>
          <w:p w14:paraId="7C85498F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15</w:t>
            </w:r>
          </w:p>
        </w:tc>
      </w:tr>
      <w:tr w:rsidR="001743BC" w:rsidRPr="00CE2CF6" w14:paraId="7C7B7799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E6D2A" w14:textId="399B3C35" w:rsidR="00BB2686" w:rsidRPr="00CE2CF6" w:rsidRDefault="002F0C20" w:rsidP="00703A37">
            <w:pPr>
              <w:spacing w:line="276" w:lineRule="auto"/>
              <w:rPr>
                <w:color w:val="000000"/>
                <w:lang w:val="sr-Cyrl-RS"/>
              </w:rPr>
            </w:pPr>
            <w:bookmarkStart w:id="7" w:name="_Hlk219308121"/>
            <w:r w:rsidRPr="00CE2CF6">
              <w:rPr>
                <w:color w:val="000000"/>
                <w:lang w:val="sr-Cyrl-RS"/>
              </w:rPr>
              <w:t>2</w:t>
            </w:r>
            <w:r w:rsidR="00BB2686" w:rsidRPr="00CE2CF6">
              <w:rPr>
                <w:color w:val="000000"/>
                <w:lang w:val="sr-Cyrl-RS"/>
              </w:rPr>
              <w:t>.</w:t>
            </w:r>
            <w:r w:rsidRPr="00CE2CF6">
              <w:rPr>
                <w:color w:val="000000"/>
                <w:lang w:val="sr-Cyrl-RS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14:paraId="6E371D89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Међународни домет и мрежа</w:t>
            </w:r>
          </w:p>
          <w:p w14:paraId="65AEAB70" w14:textId="6A98425F" w:rsidR="00C750BB" w:rsidRPr="00CE2CF6" w:rsidRDefault="00C750BB" w:rsidP="00703A37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78F3D6F4" w14:textId="5D804F61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Присуство у ≥3 континента и ≥20 држава</w:t>
            </w:r>
            <w:r w:rsidR="006C3A77" w:rsidRPr="00CE2CF6">
              <w:rPr>
                <w:color w:val="000000"/>
                <w:lang w:val="sr-Cyrl-RS"/>
              </w:rPr>
              <w:t>: 10 бодова</w:t>
            </w:r>
            <w:r w:rsidRPr="00CE2CF6">
              <w:rPr>
                <w:color w:val="000000"/>
                <w:lang w:val="sr-Cyrl-RS"/>
              </w:rPr>
              <w:t>; ≥2 континента и ≥10 држава</w:t>
            </w:r>
            <w:r w:rsidR="006C3A77" w:rsidRPr="00CE2CF6">
              <w:rPr>
                <w:color w:val="000000"/>
                <w:lang w:val="sr-Cyrl-RS"/>
              </w:rPr>
              <w:t>: 5 бодова</w:t>
            </w:r>
          </w:p>
        </w:tc>
        <w:tc>
          <w:tcPr>
            <w:tcW w:w="0" w:type="auto"/>
            <w:vAlign w:val="center"/>
            <w:hideMark/>
          </w:tcPr>
          <w:p w14:paraId="3D8A44BA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10</w:t>
            </w:r>
          </w:p>
        </w:tc>
      </w:tr>
      <w:bookmarkEnd w:id="7"/>
      <w:tr w:rsidR="001743BC" w:rsidRPr="00CE2CF6" w14:paraId="434946A2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8153B" w14:textId="6AE5A0F5" w:rsidR="00BB2686" w:rsidRPr="00CE2CF6" w:rsidRDefault="002F0C20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2</w:t>
            </w:r>
            <w:r w:rsidR="00BB2686" w:rsidRPr="00CE2CF6">
              <w:rPr>
                <w:color w:val="000000"/>
                <w:lang w:val="sr-Cyrl-RS"/>
              </w:rPr>
              <w:t>.</w:t>
            </w:r>
            <w:r w:rsidRPr="00CE2CF6">
              <w:rPr>
                <w:color w:val="000000"/>
                <w:lang w:val="sr-Cyrl-RS"/>
              </w:rPr>
              <w:t>1.</w:t>
            </w:r>
            <w:r w:rsidR="00BB2686" w:rsidRPr="00CE2CF6">
              <w:rPr>
                <w:color w:val="000000"/>
                <w:lang w:val="sr-Cyrl-RS"/>
              </w:rPr>
              <w:t>3</w:t>
            </w:r>
            <w:r w:rsidRPr="00CE2CF6">
              <w:rPr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433A98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Препознатљивост и продајни системи</w:t>
            </w:r>
          </w:p>
        </w:tc>
        <w:tc>
          <w:tcPr>
            <w:tcW w:w="0" w:type="auto"/>
            <w:vAlign w:val="center"/>
            <w:hideMark/>
          </w:tcPr>
          <w:p w14:paraId="0C2BC1F9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CRS, GDS, loyalty програми, корпоративни и MICE канали</w:t>
            </w:r>
          </w:p>
        </w:tc>
        <w:tc>
          <w:tcPr>
            <w:tcW w:w="0" w:type="auto"/>
            <w:vAlign w:val="center"/>
            <w:hideMark/>
          </w:tcPr>
          <w:p w14:paraId="05BD1E8A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10</w:t>
            </w:r>
          </w:p>
        </w:tc>
      </w:tr>
      <w:tr w:rsidR="001743BC" w:rsidRPr="00CE2CF6" w14:paraId="0FB4F87C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8047A" w14:textId="43EC17F9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2.</w:t>
            </w:r>
            <w:r w:rsidR="00347C94" w:rsidRPr="00CE2CF6">
              <w:rPr>
                <w:rStyle w:val="Strong"/>
                <w:color w:val="000000"/>
                <w:lang w:val="sr-Cyrl-RS"/>
              </w:rPr>
              <w:t>2</w:t>
            </w:r>
            <w:r w:rsidR="00347C94" w:rsidRPr="00CE2CF6">
              <w:rPr>
                <w:rStyle w:val="Strong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406933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Ефекти бренда на перформансе хотела</w:t>
            </w:r>
          </w:p>
        </w:tc>
        <w:tc>
          <w:tcPr>
            <w:tcW w:w="0" w:type="auto"/>
            <w:vAlign w:val="center"/>
            <w:hideMark/>
          </w:tcPr>
          <w:p w14:paraId="2010C22A" w14:textId="1EE89303" w:rsidR="00BB2686" w:rsidRPr="00CE2CF6" w:rsidRDefault="00196263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У</w:t>
            </w:r>
            <w:r w:rsidR="00BB2686" w:rsidRPr="00CE2CF6">
              <w:rPr>
                <w:color w:val="000000"/>
                <w:lang w:val="sr-Cyrl-RS"/>
              </w:rPr>
              <w:t>тицај бренда на кључне оперативне показатеље хотела у упоредивим тржиштима, укључујући повећање попуњености, просечне цене (ADR), прихода по расположивој соби (RevPAR) и стабилност потражње.</w:t>
            </w:r>
          </w:p>
        </w:tc>
        <w:tc>
          <w:tcPr>
            <w:tcW w:w="0" w:type="auto"/>
            <w:vAlign w:val="center"/>
            <w:hideMark/>
          </w:tcPr>
          <w:p w14:paraId="3DF589D1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25</w:t>
            </w:r>
          </w:p>
        </w:tc>
      </w:tr>
      <w:tr w:rsidR="001743BC" w:rsidRPr="00CE2CF6" w14:paraId="530BB5F8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D738E" w14:textId="538C77F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lastRenderedPageBreak/>
              <w:t>2.</w:t>
            </w:r>
            <w:r w:rsidR="00347C94" w:rsidRPr="00CE2CF6">
              <w:rPr>
                <w:color w:val="000000"/>
                <w:lang w:val="sr-Cyrl-RS"/>
              </w:rPr>
              <w:t>2.</w:t>
            </w:r>
            <w:r w:rsidRPr="00CE2CF6">
              <w:rPr>
                <w:color w:val="000000"/>
                <w:lang w:val="sr-Cyrl-RS"/>
              </w:rPr>
              <w:t>1</w:t>
            </w:r>
            <w:r w:rsidR="00347C94" w:rsidRPr="00CE2CF6">
              <w:rPr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36E581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Утицај на попуњеност</w:t>
            </w:r>
          </w:p>
        </w:tc>
        <w:tc>
          <w:tcPr>
            <w:tcW w:w="0" w:type="auto"/>
            <w:vAlign w:val="center"/>
            <w:hideMark/>
          </w:tcPr>
          <w:p w14:paraId="760F544F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Документован раст попуњености у односу на независне хотеле</w:t>
            </w:r>
          </w:p>
        </w:tc>
        <w:tc>
          <w:tcPr>
            <w:tcW w:w="0" w:type="auto"/>
            <w:vAlign w:val="center"/>
            <w:hideMark/>
          </w:tcPr>
          <w:p w14:paraId="452261B8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8</w:t>
            </w:r>
          </w:p>
        </w:tc>
      </w:tr>
      <w:tr w:rsidR="001743BC" w:rsidRPr="00CE2CF6" w14:paraId="78ABE4F7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0DB0A" w14:textId="0E810C92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2.2</w:t>
            </w:r>
            <w:r w:rsidR="00347C94" w:rsidRPr="00CE2CF6">
              <w:rPr>
                <w:color w:val="000000"/>
                <w:lang w:val="sr-Cyrl-RS"/>
              </w:rPr>
              <w:t>.2.</w:t>
            </w:r>
          </w:p>
        </w:tc>
        <w:tc>
          <w:tcPr>
            <w:tcW w:w="0" w:type="auto"/>
            <w:vAlign w:val="center"/>
            <w:hideMark/>
          </w:tcPr>
          <w:p w14:paraId="4FEFD058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Утицај на ADR и RevPAR</w:t>
            </w:r>
          </w:p>
        </w:tc>
        <w:tc>
          <w:tcPr>
            <w:tcW w:w="0" w:type="auto"/>
            <w:vAlign w:val="center"/>
            <w:hideMark/>
          </w:tcPr>
          <w:p w14:paraId="3E18A546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Документован uplift у ADR/RevPAR у упоредивим тржиштима</w:t>
            </w:r>
          </w:p>
        </w:tc>
        <w:tc>
          <w:tcPr>
            <w:tcW w:w="0" w:type="auto"/>
            <w:vAlign w:val="center"/>
            <w:hideMark/>
          </w:tcPr>
          <w:p w14:paraId="52894F16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10</w:t>
            </w:r>
          </w:p>
        </w:tc>
      </w:tr>
      <w:tr w:rsidR="001743BC" w:rsidRPr="00CE2CF6" w14:paraId="7C72DEED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BE019" w14:textId="73F804AD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2.</w:t>
            </w:r>
            <w:r w:rsidR="00347C94" w:rsidRPr="00CE2CF6">
              <w:rPr>
                <w:color w:val="000000"/>
                <w:lang w:val="sr-Cyrl-RS"/>
              </w:rPr>
              <w:t>2.</w:t>
            </w:r>
            <w:r w:rsidRPr="00CE2CF6">
              <w:rPr>
                <w:color w:val="000000"/>
                <w:lang w:val="sr-Cyrl-RS"/>
              </w:rPr>
              <w:t>3</w:t>
            </w:r>
            <w:r w:rsidR="00347C94" w:rsidRPr="00CE2CF6">
              <w:rPr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510F67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Стабилност и структура потражње</w:t>
            </w:r>
          </w:p>
        </w:tc>
        <w:tc>
          <w:tcPr>
            <w:tcW w:w="0" w:type="auto"/>
            <w:vAlign w:val="center"/>
            <w:hideMark/>
          </w:tcPr>
          <w:p w14:paraId="3CC8A0AF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Већи удео пословних, корпоративних и међународних гостију</w:t>
            </w:r>
          </w:p>
        </w:tc>
        <w:tc>
          <w:tcPr>
            <w:tcW w:w="0" w:type="auto"/>
            <w:vAlign w:val="center"/>
            <w:hideMark/>
          </w:tcPr>
          <w:p w14:paraId="77C9313D" w14:textId="77777777" w:rsidR="00BB2686" w:rsidRPr="00CE2CF6" w:rsidRDefault="00BB2686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7</w:t>
            </w:r>
          </w:p>
        </w:tc>
      </w:tr>
      <w:tr w:rsidR="001743BC" w:rsidRPr="00CE2CF6" w14:paraId="1EE490B1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F2E58" w14:textId="5A931AA2" w:rsidR="00BB2686" w:rsidRPr="00CE2CF6" w:rsidRDefault="00347C94" w:rsidP="00703A37">
            <w:pPr>
              <w:spacing w:line="276" w:lineRule="auto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2.3</w:t>
            </w:r>
            <w:r w:rsidR="00BB2686" w:rsidRPr="00CE2CF6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01D6BC" w14:textId="5461097E" w:rsidR="00BB2686" w:rsidRPr="00CE2CF6" w:rsidRDefault="00B05056" w:rsidP="00703A37">
            <w:pPr>
              <w:spacing w:line="276" w:lineRule="auto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Допринос релативном повећању раста туристичког промета дестинације</w:t>
            </w:r>
            <w:r w:rsidR="00624380" w:rsidRPr="00CE2CF6">
              <w:rPr>
                <w:b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97D24D" w14:textId="2946BBD1" w:rsidR="00BB2686" w:rsidRPr="00CE2CF6" w:rsidRDefault="00196263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П</w:t>
            </w:r>
            <w:r w:rsidR="00BB2686" w:rsidRPr="00CE2CF6">
              <w:rPr>
                <w:color w:val="000000"/>
                <w:lang w:val="sr-Cyrl-RS"/>
              </w:rPr>
              <w:t xml:space="preserve">ројектовани </w:t>
            </w:r>
            <w:r w:rsidR="00B05056" w:rsidRPr="00CE2CF6">
              <w:rPr>
                <w:color w:val="000000"/>
                <w:lang w:val="sr-Cyrl-RS"/>
              </w:rPr>
              <w:t>релативни допринос инвестиционог пројекта повећању укупног туристичког промета дестинације након стабилизације пословања</w:t>
            </w:r>
            <w:r w:rsidR="00EC403F" w:rsidRPr="00CE2CF6">
              <w:rPr>
                <w:color w:val="000000"/>
                <w:lang w:val="sr-Cyrl-RS"/>
              </w:rPr>
              <w:t xml:space="preserve"> и расположивих смештајних хотелских капацитета</w:t>
            </w:r>
          </w:p>
        </w:tc>
        <w:tc>
          <w:tcPr>
            <w:tcW w:w="0" w:type="auto"/>
            <w:vAlign w:val="center"/>
            <w:hideMark/>
          </w:tcPr>
          <w:p w14:paraId="1E6B8BF2" w14:textId="50932059" w:rsidR="00BB2686" w:rsidRPr="00CE2CF6" w:rsidRDefault="00FF472E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lang w:val="sr-Cyrl-RS"/>
              </w:rPr>
              <w:t>30</w:t>
            </w:r>
          </w:p>
        </w:tc>
      </w:tr>
      <w:tr w:rsidR="00624380" w:rsidRPr="00CE2CF6" w14:paraId="562E562A" w14:textId="77777777" w:rsidTr="004B534C">
        <w:trPr>
          <w:trHeight w:val="1279"/>
          <w:tblCellSpacing w:w="15" w:type="dxa"/>
        </w:trPr>
        <w:tc>
          <w:tcPr>
            <w:tcW w:w="0" w:type="auto"/>
            <w:vAlign w:val="center"/>
            <w:hideMark/>
          </w:tcPr>
          <w:p w14:paraId="2EBF3FF2" w14:textId="77777777" w:rsidR="00624380" w:rsidRPr="00CE2CF6" w:rsidRDefault="00624380" w:rsidP="00703A37">
            <w:pPr>
              <w:spacing w:line="276" w:lineRule="auto"/>
              <w:rPr>
                <w:color w:val="000000"/>
                <w:lang w:val="sr-Cyrl-RS"/>
              </w:rPr>
            </w:pPr>
            <w:bookmarkStart w:id="8" w:name="_Hlk219308809"/>
            <w:r w:rsidRPr="00CE2CF6">
              <w:rPr>
                <w:color w:val="000000"/>
                <w:lang w:val="sr-Cyrl-RS"/>
              </w:rPr>
              <w:t>2.3.1.</w:t>
            </w:r>
          </w:p>
          <w:p w14:paraId="418F9E9B" w14:textId="09A82EC4" w:rsidR="00624380" w:rsidRPr="00CE2CF6" w:rsidRDefault="00624380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C48503" w14:textId="247046F6" w:rsidR="00624380" w:rsidRPr="00CE2CF6" w:rsidRDefault="00624380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Релативни допринос инвестиционог пројекта повећању укупног туристичког промета</w:t>
            </w:r>
            <w:r w:rsidR="001743BC" w:rsidRPr="00CE2CF6">
              <w:rPr>
                <w:color w:val="000000"/>
                <w:lang w:val="sr-Cyrl-RS"/>
              </w:rPr>
              <w:t xml:space="preserve"> ИДТ</w:t>
            </w:r>
          </w:p>
        </w:tc>
        <w:tc>
          <w:tcPr>
            <w:tcW w:w="0" w:type="auto"/>
            <w:vAlign w:val="center"/>
            <w:hideMark/>
          </w:tcPr>
          <w:p w14:paraId="39827CDB" w14:textId="77777777" w:rsidR="00624380" w:rsidRPr="00CE2CF6" w:rsidRDefault="00624380" w:rsidP="00703A37">
            <w:pPr>
              <w:spacing w:line="276" w:lineRule="auto"/>
              <w:rPr>
                <w:vanish/>
                <w:lang w:val="sr-Cyrl-RS"/>
              </w:rPr>
            </w:pPr>
            <w:bookmarkStart w:id="9" w:name="_Hlk219308791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4"/>
            </w:tblGrid>
            <w:tr w:rsidR="001743BC" w:rsidRPr="00CE2CF6" w14:paraId="03B4D79F" w14:textId="77777777" w:rsidTr="008902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1"/>
                    <w:gridCol w:w="1080"/>
                  </w:tblGrid>
                  <w:tr w:rsidR="001743BC" w:rsidRPr="00CE2CF6" w14:paraId="35266BB7" w14:textId="77777777" w:rsidTr="006243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CBDF3D" w14:textId="77777777" w:rsidR="001743BC" w:rsidRPr="00CE2CF6" w:rsidRDefault="001743BC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ИДТ ≥ 10%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3FDDA3" w14:textId="30609B8D" w:rsidR="001743BC" w:rsidRPr="00CE2CF6" w:rsidRDefault="00100882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15</w:t>
                        </w:r>
                        <w:r w:rsidR="001743BC"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 xml:space="preserve"> бодова</w:t>
                        </w:r>
                      </w:p>
                    </w:tc>
                  </w:tr>
                </w:tbl>
                <w:p w14:paraId="1DFF24FC" w14:textId="77777777" w:rsidR="001743BC" w:rsidRPr="00CE2CF6" w:rsidRDefault="001743BC" w:rsidP="00624380">
                  <w:pPr>
                    <w:rPr>
                      <w:vanish/>
                      <w:lang w:val="sr-Cyrl-RS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4"/>
                    <w:gridCol w:w="1080"/>
                  </w:tblGrid>
                  <w:tr w:rsidR="001743BC" w:rsidRPr="00CE2CF6" w14:paraId="0D0F9D55" w14:textId="77777777" w:rsidTr="006243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3A9D0B" w14:textId="77777777" w:rsidR="001743BC" w:rsidRPr="00CE2CF6" w:rsidRDefault="001743BC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ИДТ ≥ 5% и &lt; 10%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A787C0" w14:textId="77777777" w:rsidR="001743BC" w:rsidRPr="00CE2CF6" w:rsidRDefault="001743BC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10 бодова</w:t>
                        </w:r>
                      </w:p>
                    </w:tc>
                  </w:tr>
                </w:tbl>
                <w:p w14:paraId="2B136B6B" w14:textId="77777777" w:rsidR="001743BC" w:rsidRPr="00CE2CF6" w:rsidRDefault="001743BC" w:rsidP="00624380">
                  <w:pPr>
                    <w:rPr>
                      <w:vanish/>
                      <w:lang w:val="sr-Cyrl-RS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960"/>
                  </w:tblGrid>
                  <w:tr w:rsidR="001743BC" w:rsidRPr="00CE2CF6" w14:paraId="48EC6CAA" w14:textId="77777777" w:rsidTr="006243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0CC1CA" w14:textId="77777777" w:rsidR="001743BC" w:rsidRPr="00CE2CF6" w:rsidRDefault="001743BC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ИДТ &lt; 5%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7314A9" w14:textId="77777777" w:rsidR="001743BC" w:rsidRPr="00CE2CF6" w:rsidRDefault="001743BC" w:rsidP="00624380">
                        <w:pPr>
                          <w:rPr>
                            <w:color w:val="000000"/>
                            <w:lang w:val="sr-Cyrl-RS"/>
                          </w:rPr>
                        </w:pPr>
                        <w:r w:rsidRPr="00CE2CF6">
                          <w:rPr>
                            <w:rStyle w:val="Strong"/>
                            <w:b w:val="0"/>
                            <w:bCs w:val="0"/>
                            <w:color w:val="000000"/>
                            <w:lang w:val="sr-Cyrl-RS"/>
                          </w:rPr>
                          <w:t>0 бодова</w:t>
                        </w:r>
                      </w:p>
                    </w:tc>
                  </w:tr>
                </w:tbl>
                <w:p w14:paraId="5DFCBBBE" w14:textId="46364F23" w:rsidR="001743BC" w:rsidRPr="00CE2CF6" w:rsidRDefault="001743BC" w:rsidP="00703A37">
                  <w:pPr>
                    <w:spacing w:line="276" w:lineRule="auto"/>
                    <w:rPr>
                      <w:color w:val="000000"/>
                      <w:lang w:val="sr-Cyrl-RS"/>
                    </w:rPr>
                  </w:pPr>
                </w:p>
              </w:tc>
            </w:tr>
          </w:tbl>
          <w:p w14:paraId="4BC0AC5A" w14:textId="77777777" w:rsidR="00624380" w:rsidRPr="00CE2CF6" w:rsidRDefault="00624380" w:rsidP="00703A37">
            <w:pPr>
              <w:spacing w:line="276" w:lineRule="auto"/>
              <w:rPr>
                <w:vanish/>
                <w:lang w:val="sr-Cyrl-RS"/>
              </w:rPr>
            </w:pPr>
          </w:p>
          <w:bookmarkEnd w:id="9"/>
          <w:p w14:paraId="1BE18206" w14:textId="78D11A99" w:rsidR="00624380" w:rsidRPr="00CE2CF6" w:rsidRDefault="00624380" w:rsidP="00703A37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0" w:type="auto"/>
            <w:vAlign w:val="center"/>
            <w:hideMark/>
          </w:tcPr>
          <w:p w14:paraId="3545E9FD" w14:textId="14062679" w:rsidR="00624380" w:rsidRPr="00CE2CF6" w:rsidRDefault="00100882" w:rsidP="0062438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15</w:t>
            </w:r>
          </w:p>
        </w:tc>
      </w:tr>
      <w:tr w:rsidR="00EC403F" w:rsidRPr="00CE2CF6" w14:paraId="6E5EB47D" w14:textId="77777777" w:rsidTr="004B534C">
        <w:trPr>
          <w:trHeight w:val="1279"/>
          <w:tblCellSpacing w:w="15" w:type="dxa"/>
        </w:trPr>
        <w:tc>
          <w:tcPr>
            <w:tcW w:w="0" w:type="auto"/>
            <w:vAlign w:val="center"/>
          </w:tcPr>
          <w:p w14:paraId="2F819EC4" w14:textId="7A22B9B9" w:rsidR="00EC403F" w:rsidRPr="00CE2CF6" w:rsidRDefault="00EC403F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2.3.2.</w:t>
            </w:r>
          </w:p>
        </w:tc>
        <w:tc>
          <w:tcPr>
            <w:tcW w:w="0" w:type="auto"/>
            <w:vAlign w:val="center"/>
          </w:tcPr>
          <w:p w14:paraId="1AB4A125" w14:textId="6D37FFCA" w:rsidR="00EC403F" w:rsidRPr="00CE2CF6" w:rsidRDefault="00EC403F" w:rsidP="00EC403F">
            <w:pPr>
              <w:pStyle w:val="NormalWeb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 xml:space="preserve">Допринос инвестиционог пројекта укупном броју нових смештајних јединица које се стављају у функцију </w:t>
            </w:r>
            <w:r w:rsidR="00067918" w:rsidRPr="00CE2CF6">
              <w:rPr>
                <w:color w:val="000000"/>
                <w:lang w:val="sr-Cyrl-RS"/>
              </w:rPr>
              <w:t xml:space="preserve">његовом </w:t>
            </w:r>
            <w:r w:rsidRPr="00CE2CF6">
              <w:rPr>
                <w:color w:val="000000"/>
                <w:lang w:val="sr-Cyrl-RS"/>
              </w:rPr>
              <w:t xml:space="preserve">реализацијом </w:t>
            </w:r>
          </w:p>
        </w:tc>
        <w:tc>
          <w:tcPr>
            <w:tcW w:w="0" w:type="auto"/>
            <w:vAlign w:val="center"/>
          </w:tcPr>
          <w:p w14:paraId="79E587C6" w14:textId="6DBDCF4C" w:rsidR="00EC403F" w:rsidRPr="00CE2CF6" w:rsidRDefault="00EC403F" w:rsidP="00EC403F">
            <w:pPr>
              <w:pStyle w:val="NormalWeb"/>
              <w:spacing w:before="0" w:beforeAutospacing="0" w:after="0" w:afterAutospacing="0"/>
              <w:rPr>
                <w:lang w:val="sr-Cyrl-RS"/>
              </w:rPr>
            </w:pPr>
            <w:r w:rsidRPr="00CE2CF6">
              <w:rPr>
                <w:lang w:val="sr-Cyrl-RS"/>
              </w:rPr>
              <w:t xml:space="preserve">≥ 200 јединица – </w:t>
            </w:r>
            <w:r w:rsidR="00100882" w:rsidRPr="00CE2CF6">
              <w:rPr>
                <w:lang w:val="sr-Cyrl-RS"/>
              </w:rPr>
              <w:t>15</w:t>
            </w:r>
            <w:r w:rsidRPr="00CE2CF6">
              <w:rPr>
                <w:lang w:val="sr-Cyrl-RS"/>
              </w:rPr>
              <w:t xml:space="preserve"> бодова</w:t>
            </w:r>
          </w:p>
          <w:p w14:paraId="313BCDB1" w14:textId="49B57115" w:rsidR="00EC403F" w:rsidRPr="00CE2CF6" w:rsidRDefault="00E957C5" w:rsidP="00EC403F">
            <w:pPr>
              <w:pStyle w:val="NormalWeb"/>
              <w:spacing w:before="0" w:beforeAutospacing="0" w:after="0" w:afterAutospacing="0"/>
              <w:rPr>
                <w:lang w:val="sr-Cyrl-RS"/>
              </w:rPr>
            </w:pPr>
            <w:r w:rsidRPr="00CE2CF6">
              <w:rPr>
                <w:lang w:val="sr-Cyrl-RS"/>
              </w:rPr>
              <w:t xml:space="preserve">≥ </w:t>
            </w:r>
            <w:r w:rsidR="00EC403F" w:rsidRPr="00CE2CF6">
              <w:rPr>
                <w:lang w:val="sr-Cyrl-RS"/>
              </w:rPr>
              <w:t>100</w:t>
            </w:r>
            <w:r w:rsidRPr="00CE2CF6">
              <w:rPr>
                <w:lang w:val="sr-Cyrl-RS"/>
              </w:rPr>
              <w:t xml:space="preserve"> јединица</w:t>
            </w:r>
            <w:r w:rsidR="00EC403F" w:rsidRPr="00CE2CF6">
              <w:rPr>
                <w:lang w:val="sr-Cyrl-RS"/>
              </w:rPr>
              <w:t xml:space="preserve">– </w:t>
            </w:r>
            <w:r w:rsidR="00100882" w:rsidRPr="00CE2CF6">
              <w:rPr>
                <w:lang w:val="sr-Cyrl-RS"/>
              </w:rPr>
              <w:t>10</w:t>
            </w:r>
            <w:r w:rsidR="00EC403F" w:rsidRPr="00CE2CF6">
              <w:rPr>
                <w:lang w:val="sr-Cyrl-RS"/>
              </w:rPr>
              <w:t xml:space="preserve"> бодова</w:t>
            </w:r>
          </w:p>
          <w:p w14:paraId="5E4EB9F8" w14:textId="75404B85" w:rsidR="00EC403F" w:rsidRPr="00CE2CF6" w:rsidRDefault="00E957C5" w:rsidP="00EC403F">
            <w:pPr>
              <w:pStyle w:val="NormalWeb"/>
              <w:spacing w:before="0" w:beforeAutospacing="0" w:after="0" w:afterAutospacing="0"/>
              <w:rPr>
                <w:lang w:val="sr-Cyrl-RS"/>
              </w:rPr>
            </w:pPr>
            <w:r w:rsidRPr="00CE2CF6">
              <w:rPr>
                <w:lang w:val="sr-Cyrl-RS"/>
              </w:rPr>
              <w:t xml:space="preserve">≥ 50 јединица </w:t>
            </w:r>
            <w:r w:rsidR="00EC403F" w:rsidRPr="00CE2CF6">
              <w:rPr>
                <w:lang w:val="sr-Cyrl-RS"/>
              </w:rPr>
              <w:t xml:space="preserve">– </w:t>
            </w:r>
            <w:r w:rsidR="00100882" w:rsidRPr="00CE2CF6">
              <w:rPr>
                <w:lang w:val="sr-Cyrl-RS"/>
              </w:rPr>
              <w:t>5</w:t>
            </w:r>
            <w:r w:rsidR="00EC403F" w:rsidRPr="00CE2CF6">
              <w:rPr>
                <w:lang w:val="sr-Cyrl-RS"/>
              </w:rPr>
              <w:t xml:space="preserve"> бода</w:t>
            </w:r>
          </w:p>
          <w:p w14:paraId="1E96B70D" w14:textId="77777777" w:rsidR="00EC403F" w:rsidRPr="00CE2CF6" w:rsidRDefault="00EC403F" w:rsidP="00E957C5">
            <w:pPr>
              <w:pStyle w:val="NormalWeb"/>
              <w:spacing w:before="0" w:beforeAutospacing="0" w:after="0" w:afterAutospacing="0"/>
              <w:rPr>
                <w:vanish/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16F92074" w14:textId="28406EEF" w:rsidR="00EC403F" w:rsidRPr="00CE2CF6" w:rsidRDefault="00E957C5" w:rsidP="0062438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1</w:t>
            </w:r>
            <w:r w:rsidR="00100882" w:rsidRPr="00CE2CF6">
              <w:rPr>
                <w:color w:val="000000"/>
                <w:lang w:val="sr-Cyrl-RS"/>
              </w:rPr>
              <w:t>5</w:t>
            </w:r>
          </w:p>
        </w:tc>
      </w:tr>
      <w:bookmarkEnd w:id="8"/>
      <w:tr w:rsidR="001743BC" w:rsidRPr="00CE2CF6" w14:paraId="7208F4DC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FFC8F" w14:textId="2C7DD4C5" w:rsidR="00BB2686" w:rsidRPr="00CE2CF6" w:rsidRDefault="007B3038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3</w:t>
            </w:r>
            <w:r w:rsidR="00BB2686" w:rsidRPr="00CE2CF6">
              <w:rPr>
                <w:rStyle w:val="Strong"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28EA1F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Допринос стварању нових могућности за радно ангажовање локалног становништва</w:t>
            </w:r>
          </w:p>
        </w:tc>
        <w:tc>
          <w:tcPr>
            <w:tcW w:w="0" w:type="auto"/>
            <w:vAlign w:val="center"/>
            <w:hideMark/>
          </w:tcPr>
          <w:p w14:paraId="5DAA5797" w14:textId="3032D67A" w:rsidR="00BB2686" w:rsidRPr="00CE2CF6" w:rsidRDefault="00196263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И</w:t>
            </w:r>
            <w:r w:rsidR="00BB2686" w:rsidRPr="00CE2CF6">
              <w:rPr>
                <w:color w:val="000000"/>
                <w:lang w:val="sr-Cyrl-RS"/>
              </w:rPr>
              <w:t>спуњеност минималних стандарда запошљавања у односу на капацитет хотела и врсту пројекта.</w:t>
            </w:r>
          </w:p>
        </w:tc>
        <w:tc>
          <w:tcPr>
            <w:tcW w:w="0" w:type="auto"/>
            <w:vAlign w:val="center"/>
            <w:hideMark/>
          </w:tcPr>
          <w:p w14:paraId="6AEF1BC3" w14:textId="297DF7E6" w:rsidR="00BB2686" w:rsidRPr="00CE2CF6" w:rsidRDefault="00E957C5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lang w:val="sr-Cyrl-RS"/>
              </w:rPr>
              <w:t>5</w:t>
            </w:r>
          </w:p>
        </w:tc>
      </w:tr>
      <w:tr w:rsidR="001743BC" w:rsidRPr="00CE2CF6" w14:paraId="77CA7A73" w14:textId="77777777" w:rsidTr="00BB26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680D9" w14:textId="37804468" w:rsidR="00BB2686" w:rsidRPr="00CE2CF6" w:rsidRDefault="007B3038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3</w:t>
            </w:r>
            <w:r w:rsidR="00BB2686" w:rsidRPr="00CE2CF6">
              <w:rPr>
                <w:color w:val="000000"/>
                <w:lang w:val="sr-Cyrl-RS"/>
              </w:rPr>
              <w:t>.1</w:t>
            </w:r>
            <w:r w:rsidR="00D91183" w:rsidRPr="00CE2CF6">
              <w:rPr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A9F871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Минимални стандард запошљавања</w:t>
            </w:r>
          </w:p>
        </w:tc>
        <w:tc>
          <w:tcPr>
            <w:tcW w:w="0" w:type="auto"/>
            <w:vAlign w:val="center"/>
            <w:hideMark/>
          </w:tcPr>
          <w:p w14:paraId="65AD11AB" w14:textId="77777777" w:rsidR="00BB2686" w:rsidRPr="00CE2CF6" w:rsidRDefault="00BB2686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Најмање 0,6 запослених по смештајној јединици</w:t>
            </w:r>
          </w:p>
        </w:tc>
        <w:tc>
          <w:tcPr>
            <w:tcW w:w="0" w:type="auto"/>
            <w:vAlign w:val="center"/>
            <w:hideMark/>
          </w:tcPr>
          <w:p w14:paraId="3B8BA876" w14:textId="209C88FD" w:rsidR="00BB2686" w:rsidRPr="00CE2CF6" w:rsidRDefault="00E957C5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5</w:t>
            </w:r>
          </w:p>
        </w:tc>
      </w:tr>
      <w:tr w:rsidR="001743BC" w:rsidRPr="00CE2CF6" w14:paraId="669BCE7E" w14:textId="77777777" w:rsidTr="00BB2686">
        <w:trPr>
          <w:tblCellSpacing w:w="15" w:type="dxa"/>
        </w:trPr>
        <w:tc>
          <w:tcPr>
            <w:tcW w:w="0" w:type="auto"/>
            <w:vAlign w:val="center"/>
          </w:tcPr>
          <w:p w14:paraId="5B473E55" w14:textId="2DE909B8" w:rsidR="004E4038" w:rsidRPr="00CE2CF6" w:rsidRDefault="007B3038" w:rsidP="00703A37">
            <w:pPr>
              <w:spacing w:line="276" w:lineRule="auto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t>4</w:t>
            </w:r>
            <w:r w:rsidR="004E4038" w:rsidRPr="00CE2CF6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vAlign w:val="center"/>
          </w:tcPr>
          <w:p w14:paraId="572F2FAC" w14:textId="426DD9DC" w:rsidR="004E4038" w:rsidRPr="00CE2CF6" w:rsidRDefault="00C9046F" w:rsidP="00703A37">
            <w:pPr>
              <w:spacing w:line="276" w:lineRule="auto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lang w:val="sr-Cyrl-RS"/>
              </w:rPr>
              <w:t>Финансијско-тржишна оцена инвестиционог пројекта</w:t>
            </w:r>
          </w:p>
        </w:tc>
        <w:tc>
          <w:tcPr>
            <w:tcW w:w="0" w:type="auto"/>
            <w:vAlign w:val="center"/>
          </w:tcPr>
          <w:p w14:paraId="4844CFCC" w14:textId="563D151B" w:rsidR="004E4038" w:rsidRPr="00CE2CF6" w:rsidRDefault="00C9046F" w:rsidP="00C9046F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Комплетно вредновање/оцена франшизе на основу прикупљених укупних бодова по критеријумима 2. и 3. из табеле (0 бодова: &lt;50; 5 бодова: 50–89; 10 бодова: ≥90)</w:t>
            </w:r>
          </w:p>
        </w:tc>
        <w:tc>
          <w:tcPr>
            <w:tcW w:w="0" w:type="auto"/>
            <w:vAlign w:val="center"/>
          </w:tcPr>
          <w:p w14:paraId="12E497AF" w14:textId="793418B5" w:rsidR="004E4038" w:rsidRPr="00CE2CF6" w:rsidRDefault="00E957C5" w:rsidP="00703A37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5</w:t>
            </w:r>
          </w:p>
        </w:tc>
      </w:tr>
      <w:tr w:rsidR="001743BC" w:rsidRPr="00CE2CF6" w14:paraId="5DEA5CB8" w14:textId="77777777" w:rsidTr="007B303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CC2" w14:textId="470E1D29" w:rsidR="007B3038" w:rsidRPr="00CE2CF6" w:rsidRDefault="007B3038" w:rsidP="00703A37">
            <w:pPr>
              <w:spacing w:line="276" w:lineRule="auto"/>
              <w:rPr>
                <w:rStyle w:val="Strong"/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D46D" w14:textId="31B5F574" w:rsidR="00C9046F" w:rsidRPr="00CE2CF6" w:rsidRDefault="00C9046F" w:rsidP="00703A37">
            <w:pPr>
              <w:spacing w:line="276" w:lineRule="auto"/>
              <w:rPr>
                <w:b/>
                <w:bCs/>
                <w:lang w:val="sr-Cyrl-RS"/>
              </w:rPr>
            </w:pPr>
            <w:r w:rsidRPr="00CE2CF6">
              <w:rPr>
                <w:b/>
                <w:bCs/>
                <w:lang w:val="sr-Cyrl-RS"/>
              </w:rPr>
              <w:t xml:space="preserve">Испуњеност циљева и усклађеност инвестиционог пројекта </w:t>
            </w:r>
            <w:r w:rsidRPr="00CE2CF6">
              <w:rPr>
                <w:b/>
                <w:bCs/>
                <w:lang w:val="sr-Cyrl-RS"/>
              </w:rPr>
              <w:lastRenderedPageBreak/>
              <w:t>са Стратегијом развоја туризма и другим планским документима из области туризма</w:t>
            </w:r>
          </w:p>
          <w:p w14:paraId="4CD84668" w14:textId="1F227E9C" w:rsidR="007B3038" w:rsidRPr="00CE2CF6" w:rsidRDefault="007B3038" w:rsidP="00703A37">
            <w:pPr>
              <w:spacing w:line="276" w:lineRule="auto"/>
              <w:rPr>
                <w:rStyle w:val="Strong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A82" w14:textId="77777777" w:rsidR="00C9046F" w:rsidRPr="00CE2CF6" w:rsidRDefault="00C9046F" w:rsidP="00703A37">
            <w:pPr>
              <w:spacing w:line="276" w:lineRule="auto"/>
              <w:rPr>
                <w:color w:val="000000"/>
                <w:lang w:val="sr-Cyrl-RS"/>
              </w:rPr>
            </w:pPr>
          </w:p>
          <w:p w14:paraId="449BBDF3" w14:textId="5248DB3B" w:rsidR="00C9046F" w:rsidRPr="00CE2CF6" w:rsidRDefault="00C9046F" w:rsidP="00703A37">
            <w:pPr>
              <w:spacing w:line="276" w:lineRule="auto"/>
              <w:rPr>
                <w:color w:val="000000"/>
                <w:lang w:val="sr-Cyrl-RS"/>
              </w:rPr>
            </w:pPr>
            <w:r w:rsidRPr="00CE2CF6">
              <w:rPr>
                <w:color w:val="000000"/>
                <w:lang w:val="sr-Cyrl-RS"/>
              </w:rPr>
              <w:t>Изјава Корисника</w:t>
            </w:r>
          </w:p>
          <w:p w14:paraId="28F07D49" w14:textId="77777777" w:rsidR="00C9046F" w:rsidRPr="00CE2CF6" w:rsidRDefault="00C9046F" w:rsidP="00703A37">
            <w:pPr>
              <w:spacing w:line="276" w:lineRule="auto"/>
              <w:rPr>
                <w:color w:val="000000"/>
                <w:lang w:val="sr-Cyrl-RS"/>
              </w:rPr>
            </w:pPr>
          </w:p>
          <w:p w14:paraId="6D971072" w14:textId="77777777" w:rsidR="00C9046F" w:rsidRPr="00CE2CF6" w:rsidRDefault="00C9046F" w:rsidP="00703A37">
            <w:pPr>
              <w:spacing w:line="276" w:lineRule="auto"/>
              <w:rPr>
                <w:color w:val="000000"/>
                <w:lang w:val="sr-Cyrl-RS"/>
              </w:rPr>
            </w:pPr>
          </w:p>
          <w:p w14:paraId="2011EC02" w14:textId="3063A065" w:rsidR="007B3038" w:rsidRPr="00CE2CF6" w:rsidRDefault="007B3038" w:rsidP="00703A37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BE5F" w14:textId="469EC2D9" w:rsidR="00C9046F" w:rsidRPr="00CE2CF6" w:rsidRDefault="00C9046F" w:rsidP="00C9046F">
            <w:pPr>
              <w:spacing w:line="276" w:lineRule="auto"/>
              <w:jc w:val="center"/>
              <w:rPr>
                <w:rStyle w:val="Strong"/>
                <w:b w:val="0"/>
                <w:bCs w:val="0"/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lastRenderedPageBreak/>
              <w:t xml:space="preserve">Да/Не </w:t>
            </w:r>
            <w:r w:rsidRPr="00CE2CF6">
              <w:rPr>
                <w:rStyle w:val="Strong"/>
                <w:b w:val="0"/>
                <w:bCs w:val="0"/>
                <w:color w:val="000000"/>
                <w:lang w:val="sr-Cyrl-RS"/>
              </w:rPr>
              <w:t>(елиминациони без бодовања)</w:t>
            </w:r>
          </w:p>
          <w:p w14:paraId="53A5C9C2" w14:textId="77777777" w:rsidR="00C9046F" w:rsidRPr="00CE2CF6" w:rsidRDefault="00C9046F" w:rsidP="00703A37">
            <w:pPr>
              <w:spacing w:line="276" w:lineRule="auto"/>
              <w:jc w:val="center"/>
              <w:rPr>
                <w:b/>
                <w:bCs/>
                <w:color w:val="000000"/>
                <w:lang w:val="sr-Cyrl-RS"/>
              </w:rPr>
            </w:pPr>
          </w:p>
          <w:p w14:paraId="6A97D59A" w14:textId="66A048B3" w:rsidR="007B3038" w:rsidRPr="00CE2CF6" w:rsidRDefault="007B3038" w:rsidP="00703A37">
            <w:pPr>
              <w:spacing w:line="276" w:lineRule="auto"/>
              <w:jc w:val="center"/>
              <w:rPr>
                <w:rStyle w:val="Strong"/>
                <w:color w:val="000000"/>
                <w:lang w:val="sr-Cyrl-RS"/>
              </w:rPr>
            </w:pPr>
          </w:p>
        </w:tc>
      </w:tr>
      <w:tr w:rsidR="004E4038" w:rsidRPr="00CE2CF6" w14:paraId="3661AB43" w14:textId="77777777" w:rsidTr="00D331EB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3399EAB9" w14:textId="76E3A8C0" w:rsidR="004E4038" w:rsidRPr="00CE2CF6" w:rsidRDefault="004E4038" w:rsidP="00703A37">
            <w:pPr>
              <w:spacing w:line="276" w:lineRule="auto"/>
              <w:rPr>
                <w:b/>
                <w:bCs/>
                <w:color w:val="000000"/>
                <w:lang w:val="sr-Cyrl-RS"/>
              </w:rPr>
            </w:pPr>
            <w:r w:rsidRPr="00CE2CF6">
              <w:rPr>
                <w:b/>
                <w:bCs/>
                <w:color w:val="000000"/>
                <w:lang w:val="sr-Cyrl-RS"/>
              </w:rPr>
              <w:lastRenderedPageBreak/>
              <w:t>Укупан број бодова</w:t>
            </w:r>
          </w:p>
        </w:tc>
        <w:tc>
          <w:tcPr>
            <w:tcW w:w="0" w:type="auto"/>
            <w:vAlign w:val="center"/>
          </w:tcPr>
          <w:p w14:paraId="32CE7B6C" w14:textId="7ECF0C76" w:rsidR="004E4038" w:rsidRPr="00CE2CF6" w:rsidRDefault="007B3038" w:rsidP="00703A37">
            <w:pPr>
              <w:spacing w:line="276" w:lineRule="auto"/>
              <w:jc w:val="center"/>
              <w:rPr>
                <w:rStyle w:val="Strong"/>
                <w:color w:val="000000"/>
                <w:lang w:val="sr-Cyrl-RS"/>
              </w:rPr>
            </w:pPr>
            <w:r w:rsidRPr="00CE2CF6">
              <w:rPr>
                <w:rStyle w:val="Strong"/>
                <w:color w:val="000000"/>
                <w:lang w:val="sr-Cyrl-RS"/>
              </w:rPr>
              <w:t>1</w:t>
            </w:r>
            <w:r w:rsidRPr="00CE2CF6">
              <w:rPr>
                <w:rStyle w:val="Strong"/>
                <w:lang w:val="sr-Cyrl-RS"/>
              </w:rPr>
              <w:t>00</w:t>
            </w:r>
          </w:p>
        </w:tc>
      </w:tr>
    </w:tbl>
    <w:p w14:paraId="25EF1DCA" w14:textId="77777777" w:rsidR="0042420D" w:rsidRPr="00CE2CF6" w:rsidRDefault="0042420D" w:rsidP="006D37D9">
      <w:pPr>
        <w:spacing w:line="276" w:lineRule="auto"/>
        <w:jc w:val="both"/>
        <w:rPr>
          <w:bCs/>
          <w:lang w:val="sr-Cyrl-RS"/>
        </w:rPr>
      </w:pPr>
    </w:p>
    <w:p w14:paraId="6156A227" w14:textId="263B73FE" w:rsidR="00A66083" w:rsidRPr="00CE2CF6" w:rsidRDefault="00A66083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 xml:space="preserve">Средства подстицаја се додељују </w:t>
      </w:r>
      <w:r w:rsidR="0048488E" w:rsidRPr="00CE2CF6">
        <w:rPr>
          <w:lang w:val="sr-Cyrl-RS"/>
        </w:rPr>
        <w:t>Корисницима</w:t>
      </w:r>
      <w:r w:rsidRPr="00CE2CF6">
        <w:rPr>
          <w:lang w:val="sr-Cyrl-RS"/>
        </w:rPr>
        <w:t xml:space="preserve"> из ранг листе, коју утврђује Радна група, до утрошка опредељених средстава подстицаја.</w:t>
      </w:r>
    </w:p>
    <w:p w14:paraId="399259EA" w14:textId="77777777" w:rsidR="004F28CB" w:rsidRPr="00CE2CF6" w:rsidRDefault="004F28CB" w:rsidP="004F28CB">
      <w:pPr>
        <w:spacing w:line="276" w:lineRule="auto"/>
        <w:ind w:firstLine="709"/>
        <w:jc w:val="both"/>
        <w:rPr>
          <w:lang w:val="sr-Cyrl-RS"/>
        </w:rPr>
      </w:pPr>
      <w:r w:rsidRPr="00CE2CF6">
        <w:rPr>
          <w:lang w:val="sr-Cyrl-RS"/>
        </w:rPr>
        <w:t>Максималан дозвољени износ средстава подстицаја одређује се у складу са прописима којима се уређују правила за доделу регионалне државне помоћи.</w:t>
      </w:r>
    </w:p>
    <w:p w14:paraId="69E77110" w14:textId="37A027D7" w:rsidR="004F28CB" w:rsidRPr="00CE2CF6" w:rsidRDefault="004F28CB" w:rsidP="004F28CB">
      <w:pPr>
        <w:spacing w:line="276" w:lineRule="auto"/>
        <w:ind w:firstLine="709"/>
        <w:jc w:val="both"/>
        <w:rPr>
          <w:lang w:val="sr-Cyrl-RS"/>
        </w:rPr>
      </w:pPr>
      <w:r w:rsidRPr="00CE2CF6">
        <w:rPr>
          <w:lang w:val="sr-Cyrl-RS"/>
        </w:rPr>
        <w:t xml:space="preserve">У складу са </w:t>
      </w:r>
      <w:r w:rsidR="002F4DDE" w:rsidRPr="00CE2CF6">
        <w:rPr>
          <w:lang w:val="sr-Cyrl-RS"/>
        </w:rPr>
        <w:t>У</w:t>
      </w:r>
      <w:r w:rsidRPr="00CE2CF6">
        <w:rPr>
          <w:lang w:val="sr-Cyrl-RS"/>
        </w:rPr>
        <w:t>редбом, средства подстицаја одобравају се у висини од 50% оправданих трошкова улагања Кориснику који је велико правно лице, 60% оправданих трошкова улагања Кориснику који је средње правно лице и 70% оправданих трошкова улагања Кориснику који је мало правно лице.</w:t>
      </w:r>
    </w:p>
    <w:p w14:paraId="53978EDA" w14:textId="146CF56B" w:rsidR="00EC130B" w:rsidRPr="00CE2CF6" w:rsidRDefault="00EC130B" w:rsidP="00703A37">
      <w:pPr>
        <w:spacing w:line="276" w:lineRule="auto"/>
        <w:ind w:firstLine="709"/>
        <w:jc w:val="both"/>
        <w:rPr>
          <w:lang w:val="sr-Cyrl-RS"/>
        </w:rPr>
      </w:pPr>
      <w:r w:rsidRPr="00CE2CF6">
        <w:rPr>
          <w:lang w:val="sr-Cyrl-RS"/>
        </w:rPr>
        <w:t xml:space="preserve">Средства </w:t>
      </w:r>
      <w:r w:rsidR="0048488E" w:rsidRPr="00CE2CF6">
        <w:rPr>
          <w:lang w:val="sr-Cyrl-RS"/>
        </w:rPr>
        <w:t>подстицаја</w:t>
      </w:r>
      <w:r w:rsidRPr="00CE2CF6">
        <w:rPr>
          <w:lang w:val="sr-Cyrl-RS"/>
        </w:rPr>
        <w:t xml:space="preserve"> додељују се бесповратно, до висине вредности</w:t>
      </w:r>
      <w:r w:rsidR="008D6D8C" w:rsidRPr="00CE2CF6">
        <w:rPr>
          <w:lang w:val="sr-Cyrl-RS"/>
        </w:rPr>
        <w:t xml:space="preserve"> инвестиционог</w:t>
      </w:r>
      <w:r w:rsidR="00696B08" w:rsidRPr="00CE2CF6">
        <w:rPr>
          <w:lang w:val="sr-Cyrl-RS"/>
        </w:rPr>
        <w:t xml:space="preserve"> </w:t>
      </w:r>
      <w:r w:rsidR="008D6D8C" w:rsidRPr="00CE2CF6">
        <w:rPr>
          <w:lang w:val="sr-Cyrl-RS"/>
        </w:rPr>
        <w:t>п</w:t>
      </w:r>
      <w:r w:rsidRPr="00CE2CF6">
        <w:rPr>
          <w:lang w:val="sr-Cyrl-RS"/>
        </w:rPr>
        <w:t xml:space="preserve">ројекта, а </w:t>
      </w:r>
      <w:r w:rsidR="00680C46" w:rsidRPr="00CE2CF6">
        <w:rPr>
          <w:lang w:val="sr-Cyrl-RS"/>
        </w:rPr>
        <w:t>у максималном износу</w:t>
      </w:r>
      <w:r w:rsidRPr="00CE2CF6">
        <w:rPr>
          <w:lang w:val="sr-Cyrl-RS"/>
        </w:rPr>
        <w:t xml:space="preserve"> од </w:t>
      </w:r>
      <w:r w:rsidRPr="00CE2CF6">
        <w:rPr>
          <w:rFonts w:eastAsiaTheme="minorEastAsia"/>
          <w:lang w:val="sr-Cyrl-RS"/>
        </w:rPr>
        <w:t>5.000.000 евра</w:t>
      </w:r>
      <w:r w:rsidR="00EA4576" w:rsidRPr="00CE2CF6">
        <w:rPr>
          <w:rFonts w:eastAsiaTheme="minorEastAsia"/>
          <w:lang w:val="sr-Cyrl-RS"/>
        </w:rPr>
        <w:t xml:space="preserve"> по Кориснику</w:t>
      </w:r>
      <w:r w:rsidRPr="00CE2CF6">
        <w:rPr>
          <w:lang w:val="sr-Cyrl-RS"/>
        </w:rPr>
        <w:t>.</w:t>
      </w:r>
    </w:p>
    <w:p w14:paraId="7850357B" w14:textId="31DBCFEE" w:rsidR="00EC130B" w:rsidRPr="00CE2CF6" w:rsidRDefault="00EC130B" w:rsidP="00703A37">
      <w:pPr>
        <w:spacing w:line="276" w:lineRule="auto"/>
        <w:ind w:firstLine="709"/>
        <w:jc w:val="both"/>
        <w:rPr>
          <w:lang w:val="sr-Cyrl-RS"/>
        </w:rPr>
      </w:pPr>
      <w:r w:rsidRPr="00CE2CF6">
        <w:rPr>
          <w:lang w:val="sr-Cyrl-RS"/>
        </w:rPr>
        <w:t>Средства подстицаја исплаћују се у динарској противвредности, по средњем курсу Народне банке, обрачунатом на дан закључења уговора који закључују Корисник и Министарство и којим се уређују међусобна права и обавезе у вези са коришћењем средстава подстицаја (у даљем тексту: Уговор).</w:t>
      </w:r>
    </w:p>
    <w:p w14:paraId="3820AC4A" w14:textId="77777777" w:rsidR="00486A70" w:rsidRPr="00CE2CF6" w:rsidRDefault="00B916EE" w:rsidP="00703A37">
      <w:pPr>
        <w:tabs>
          <w:tab w:val="left" w:pos="9072"/>
        </w:tabs>
        <w:spacing w:line="276" w:lineRule="auto"/>
        <w:ind w:right="-1" w:firstLine="709"/>
        <w:jc w:val="both"/>
        <w:rPr>
          <w:bCs/>
          <w:lang w:val="sr-Cyrl-RS" w:eastAsia="sr-Latn-RS"/>
        </w:rPr>
      </w:pPr>
      <w:r w:rsidRPr="00CE2CF6">
        <w:rPr>
          <w:bCs/>
          <w:lang w:val="sr-Cyrl-RS" w:eastAsia="sr-Latn-RS"/>
        </w:rPr>
        <w:t xml:space="preserve"> </w:t>
      </w:r>
      <w:r w:rsidR="00486A70" w:rsidRPr="00CE2CF6">
        <w:rPr>
          <w:bCs/>
          <w:lang w:val="sr-Cyrl-RS" w:eastAsia="sr-Latn-RS"/>
        </w:rPr>
        <w:t xml:space="preserve">Мере подстицаја </w:t>
      </w:r>
      <w:r w:rsidR="004A6FE3" w:rsidRPr="00CE2CF6">
        <w:rPr>
          <w:bCs/>
          <w:lang w:val="sr-Cyrl-RS" w:eastAsia="sr-Latn-RS"/>
        </w:rPr>
        <w:t xml:space="preserve">спроводи </w:t>
      </w:r>
      <w:r w:rsidR="006413CF" w:rsidRPr="00CE2CF6">
        <w:rPr>
          <w:bCs/>
          <w:lang w:val="sr-Cyrl-RS" w:eastAsia="sr-Latn-RS"/>
        </w:rPr>
        <w:t>М</w:t>
      </w:r>
      <w:r w:rsidR="004A6FE3" w:rsidRPr="00CE2CF6">
        <w:rPr>
          <w:bCs/>
          <w:lang w:val="sr-Cyrl-RS" w:eastAsia="sr-Latn-RS"/>
        </w:rPr>
        <w:t>инистарство</w:t>
      </w:r>
      <w:r w:rsidR="00A51D44" w:rsidRPr="00CE2CF6">
        <w:rPr>
          <w:bCs/>
          <w:lang w:val="sr-Cyrl-RS" w:eastAsia="sr-Latn-RS"/>
        </w:rPr>
        <w:t>.</w:t>
      </w:r>
      <w:r w:rsidR="004A6FE3" w:rsidRPr="00CE2CF6">
        <w:rPr>
          <w:bCs/>
          <w:lang w:val="sr-Cyrl-RS" w:eastAsia="sr-Latn-RS"/>
        </w:rPr>
        <w:t xml:space="preserve"> </w:t>
      </w:r>
    </w:p>
    <w:p w14:paraId="587E6F6B" w14:textId="77777777" w:rsidR="00696B08" w:rsidRPr="00CE2CF6" w:rsidRDefault="00696B08" w:rsidP="00703A37">
      <w:pPr>
        <w:spacing w:line="276" w:lineRule="auto"/>
        <w:jc w:val="both"/>
        <w:rPr>
          <w:rFonts w:eastAsia="Calibri"/>
          <w:lang w:val="sr-Cyrl-RS"/>
        </w:rPr>
      </w:pPr>
    </w:p>
    <w:p w14:paraId="0585423A" w14:textId="77777777" w:rsidR="00696B08" w:rsidRPr="00CE2CF6" w:rsidRDefault="00F0133D" w:rsidP="00703A37">
      <w:pPr>
        <w:pStyle w:val="ListParagraph"/>
        <w:numPr>
          <w:ilvl w:val="0"/>
          <w:numId w:val="12"/>
        </w:numPr>
        <w:spacing w:line="276" w:lineRule="auto"/>
        <w:jc w:val="center"/>
        <w:rPr>
          <w:rFonts w:eastAsia="Calibri"/>
          <w:b/>
          <w:bCs/>
          <w:lang w:val="sr-Cyrl-RS"/>
        </w:rPr>
      </w:pPr>
      <w:r w:rsidRPr="00CE2CF6">
        <w:rPr>
          <w:rFonts w:eastAsia="Calibri"/>
          <w:b/>
          <w:bCs/>
          <w:lang w:val="sr-Cyrl-RS"/>
        </w:rPr>
        <w:t>Категоризација</w:t>
      </w:r>
      <w:r w:rsidR="0090664C" w:rsidRPr="00CE2CF6">
        <w:rPr>
          <w:rFonts w:eastAsia="Calibri"/>
          <w:b/>
          <w:bCs/>
          <w:lang w:val="sr-Cyrl-RS"/>
        </w:rPr>
        <w:t xml:space="preserve"> хотела</w:t>
      </w:r>
    </w:p>
    <w:p w14:paraId="644A6331" w14:textId="77777777" w:rsidR="00E26B81" w:rsidRPr="00CE2CF6" w:rsidRDefault="00E26B81" w:rsidP="00703A37">
      <w:pPr>
        <w:spacing w:line="276" w:lineRule="auto"/>
        <w:jc w:val="both"/>
        <w:rPr>
          <w:lang w:val="sr-Cyrl-RS"/>
        </w:rPr>
      </w:pPr>
    </w:p>
    <w:p w14:paraId="09F4FEC9" w14:textId="77777777" w:rsidR="00B6269E" w:rsidRPr="00CE2CF6" w:rsidRDefault="00B6269E" w:rsidP="00B6269E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Корисник коме су додељена средства подстицаја је дужан да прибави решење о категоризацији хотела у року од две годинe, рачунајући од дана уплате средстава подстицаја.</w:t>
      </w:r>
    </w:p>
    <w:p w14:paraId="16DF1234" w14:textId="77777777" w:rsidR="00B6269E" w:rsidRPr="00CE2CF6" w:rsidRDefault="00B6269E" w:rsidP="00B6269E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Категорија хотела не може бити нижа од четири звездице (4*), која се одређује сагласно прописима из области угоститељства.</w:t>
      </w:r>
    </w:p>
    <w:p w14:paraId="3843B10E" w14:textId="12BACCC7" w:rsidR="005521B8" w:rsidRPr="00CE2CF6" w:rsidRDefault="00B6269E" w:rsidP="00B6269E">
      <w:pPr>
        <w:spacing w:line="276" w:lineRule="auto"/>
        <w:ind w:firstLine="709"/>
        <w:jc w:val="both"/>
        <w:rPr>
          <w:bCs/>
          <w:lang w:val="sr-Cyrl-RS"/>
        </w:rPr>
      </w:pPr>
      <w:r w:rsidRPr="00CE2CF6">
        <w:rPr>
          <w:lang w:val="sr-Cyrl-RS"/>
        </w:rPr>
        <w:t>Корисник обезбеђује обављање угоститељске делатности у категорији хотела која не може бити нижа од четири звездице (4*), за период од најмање 10 година, рачунајући од дана отварања хотела</w:t>
      </w:r>
      <w:r w:rsidRPr="00CE2CF6">
        <w:rPr>
          <w:bCs/>
          <w:lang w:val="sr-Cyrl-RS"/>
        </w:rPr>
        <w:t>.</w:t>
      </w:r>
    </w:p>
    <w:p w14:paraId="5C0FC7C5" w14:textId="646FBBA3" w:rsidR="005521B8" w:rsidRPr="00CE2CF6" w:rsidRDefault="005521B8" w:rsidP="002F4DDE">
      <w:pPr>
        <w:spacing w:line="276" w:lineRule="auto"/>
        <w:ind w:firstLine="708"/>
        <w:jc w:val="both"/>
        <w:rPr>
          <w:rFonts w:eastAsia="Verdana"/>
          <w:bCs/>
          <w:lang w:val="sr-Cyrl-RS"/>
        </w:rPr>
      </w:pPr>
    </w:p>
    <w:p w14:paraId="2B96408E" w14:textId="16252891" w:rsidR="00F0133D" w:rsidRDefault="00F0133D" w:rsidP="00703A37">
      <w:pPr>
        <w:spacing w:line="276" w:lineRule="auto"/>
        <w:jc w:val="both"/>
        <w:rPr>
          <w:lang w:val="sr-Cyrl-RS"/>
        </w:rPr>
      </w:pPr>
    </w:p>
    <w:p w14:paraId="2A9204C4" w14:textId="3ECD8E9F" w:rsidR="00A16C8F" w:rsidRDefault="00A16C8F" w:rsidP="00703A37">
      <w:pPr>
        <w:spacing w:line="276" w:lineRule="auto"/>
        <w:jc w:val="both"/>
        <w:rPr>
          <w:lang w:val="sr-Cyrl-RS"/>
        </w:rPr>
      </w:pPr>
    </w:p>
    <w:p w14:paraId="6EE5452C" w14:textId="6C9B99E6" w:rsidR="00A16C8F" w:rsidRDefault="00A16C8F" w:rsidP="00703A37">
      <w:pPr>
        <w:spacing w:line="276" w:lineRule="auto"/>
        <w:jc w:val="both"/>
        <w:rPr>
          <w:lang w:val="sr-Cyrl-RS"/>
        </w:rPr>
      </w:pPr>
    </w:p>
    <w:p w14:paraId="286C0292" w14:textId="77777777" w:rsidR="00A16C8F" w:rsidRPr="00CE2CF6" w:rsidRDefault="00A16C8F" w:rsidP="00703A37">
      <w:pPr>
        <w:spacing w:line="276" w:lineRule="auto"/>
        <w:jc w:val="both"/>
        <w:rPr>
          <w:lang w:val="sr-Cyrl-RS"/>
        </w:rPr>
      </w:pPr>
    </w:p>
    <w:p w14:paraId="3E376147" w14:textId="77777777" w:rsidR="00F0133D" w:rsidRPr="00CE2CF6" w:rsidRDefault="00F0133D" w:rsidP="00703A37">
      <w:pPr>
        <w:pStyle w:val="ListParagraph"/>
        <w:numPr>
          <w:ilvl w:val="0"/>
          <w:numId w:val="12"/>
        </w:numPr>
        <w:spacing w:line="276" w:lineRule="auto"/>
        <w:jc w:val="center"/>
        <w:rPr>
          <w:b/>
          <w:bCs/>
          <w:lang w:val="sr-Cyrl-RS"/>
        </w:rPr>
      </w:pPr>
      <w:r w:rsidRPr="00CE2CF6">
        <w:rPr>
          <w:b/>
          <w:bCs/>
          <w:lang w:val="sr-Cyrl-RS"/>
        </w:rPr>
        <w:lastRenderedPageBreak/>
        <w:t>Оправдани трошкови улагања</w:t>
      </w:r>
    </w:p>
    <w:p w14:paraId="6D9BA487" w14:textId="77777777" w:rsidR="00F0133D" w:rsidRPr="00CE2CF6" w:rsidRDefault="00F0133D" w:rsidP="00703A37">
      <w:pPr>
        <w:spacing w:line="276" w:lineRule="auto"/>
        <w:ind w:left="360"/>
        <w:rPr>
          <w:lang w:val="sr-Cyrl-RS"/>
        </w:rPr>
      </w:pPr>
    </w:p>
    <w:p w14:paraId="0703B0AE" w14:textId="77777777" w:rsidR="00F0133D" w:rsidRPr="00CE2CF6" w:rsidRDefault="00F0133D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Инвестициони пројекат реализује се </w:t>
      </w:r>
      <w:r w:rsidRPr="00CE2CF6">
        <w:rPr>
          <w:bCs/>
          <w:lang w:val="sr-Cyrl-RS"/>
        </w:rPr>
        <w:t>директним улагањима</w:t>
      </w:r>
      <w:r w:rsidRPr="00CE2CF6">
        <w:rPr>
          <w:lang w:val="sr-Cyrl-RS"/>
        </w:rPr>
        <w:t xml:space="preserve"> која чине улагања у материјална и нематеријална средства Корисника и која представљају оправдане трошкове из </w:t>
      </w:r>
      <w:r w:rsidRPr="00CE2CF6">
        <w:rPr>
          <w:rFonts w:eastAsia="Calibri"/>
          <w:lang w:val="sr-Cyrl-RS"/>
        </w:rPr>
        <w:t>франшизног уговора</w:t>
      </w:r>
      <w:r w:rsidRPr="00CE2CF6">
        <w:rPr>
          <w:lang w:val="sr-Cyrl-RS"/>
        </w:rPr>
        <w:t xml:space="preserve"> (у даљем тексту: оправдани трошкови улагања).</w:t>
      </w:r>
      <w:r w:rsidRPr="00CE2CF6">
        <w:rPr>
          <w:rFonts w:eastAsia="Calibri"/>
          <w:lang w:val="sr-Cyrl-RS"/>
        </w:rPr>
        <w:t xml:space="preserve"> </w:t>
      </w:r>
    </w:p>
    <w:p w14:paraId="339DAA66" w14:textId="77777777" w:rsidR="00696B08" w:rsidRPr="00CE2CF6" w:rsidRDefault="00696B08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Оправдани трошкови улагања могу бити једнократни или вишегодишњи.</w:t>
      </w:r>
    </w:p>
    <w:p w14:paraId="429EE4D2" w14:textId="6143D771" w:rsidR="00696B08" w:rsidRPr="00CE2CF6" w:rsidRDefault="00696B08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 xml:space="preserve">Једнократни трошкови настају у периоду од закључења франшизног уговора до дана званичног комерцијалног отварања хотела, односно прибављања решења о категоризацији (у даљем тексту: предотварање) и чине их: једнократна франшизна накнада, трошкови подршке, трошкови увођења у систем пословања и услуга саветовања, трошак набавке и увођења софтверских система, трошкови у вези са уласком бренда на релевантно тржиште, трошкови имплементације бренд идентитета, набавка одобрене опреме и материјала, </w:t>
      </w:r>
      <w:r w:rsidR="00CC3C37" w:rsidRPr="00CE2CF6">
        <w:rPr>
          <w:rFonts w:eastAsia="Calibri"/>
          <w:lang w:val="sr-Cyrl-RS"/>
        </w:rPr>
        <w:t xml:space="preserve">улагања у објекте, </w:t>
      </w:r>
      <w:r w:rsidRPr="00CE2CF6">
        <w:rPr>
          <w:rFonts w:eastAsia="Calibri"/>
          <w:lang w:val="sr-Cyrl-RS"/>
        </w:rPr>
        <w:t>трошкови лиценцирања и сертификације, као и други трошкови у складу са франшизним уговором и трошкови иницијалног увођења небрендираних услуга управљања.</w:t>
      </w:r>
    </w:p>
    <w:p w14:paraId="64BD16FE" w14:textId="67120BDB" w:rsidR="00696B08" w:rsidRPr="00CE2CF6" w:rsidRDefault="00696B08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 xml:space="preserve">Вишегодишњи трошкови настају у периоду од </w:t>
      </w:r>
      <w:r w:rsidR="00503A21" w:rsidRPr="00CE2CF6">
        <w:rPr>
          <w:rFonts w:eastAsia="Calibri"/>
          <w:lang w:val="sr-Cyrl-RS"/>
        </w:rPr>
        <w:t>7</w:t>
      </w:r>
      <w:r w:rsidR="00A72247" w:rsidRPr="00CE2CF6">
        <w:rPr>
          <w:rFonts w:eastAsia="Calibri"/>
          <w:lang w:val="sr-Cyrl-RS"/>
        </w:rPr>
        <w:t xml:space="preserve"> </w:t>
      </w:r>
      <w:r w:rsidRPr="00CE2CF6">
        <w:rPr>
          <w:rFonts w:eastAsia="Calibri"/>
          <w:lang w:val="sr-Cyrl-RS"/>
        </w:rPr>
        <w:t>година од дана комерцијалног отварања, односно прибављања решења о категоризацији хотела (у даљем тексту: отварање хотела) и чине их: трошкови годишње франшизне накнаде која обухвата све годишње накнаде према даваоцу франшизе, трошкови одржавања и обнављања лиценци и софтверских решења, трошкови периодичних ревизија по франшизном уговору, сертификације и провере усклађености пословања, као и други трошкови према франшизном уговору и годишњи трошкови пружаоца небрендираних услуга управљања.</w:t>
      </w:r>
    </w:p>
    <w:p w14:paraId="56452F9B" w14:textId="2D9E5205" w:rsidR="00A72247" w:rsidRPr="00CE2CF6" w:rsidRDefault="00CC3C37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Опрема</w:t>
      </w:r>
      <w:r w:rsidR="00200A38" w:rsidRPr="00CE2CF6">
        <w:rPr>
          <w:lang w:val="sr-Cyrl-RS"/>
        </w:rPr>
        <w:t xml:space="preserve"> коју Корисник стиче по основу улагања мора бити </w:t>
      </w:r>
      <w:r w:rsidR="00A72247" w:rsidRPr="00CE2CF6">
        <w:rPr>
          <w:lang w:val="sr-Cyrl-RS"/>
        </w:rPr>
        <w:t>нова.</w:t>
      </w:r>
    </w:p>
    <w:p w14:paraId="704B7A19" w14:textId="3F922FA1" w:rsidR="00A72247" w:rsidRPr="00CE2CF6" w:rsidRDefault="00A72247" w:rsidP="00A7224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Оправдани трошкови улагања у нематеријална средства за велика привредна друштва могу се признати у висини до 50% укупне вредности оправданих трошкова улагања, а за мала и средња привредна друштва у висини до 100% оправданих трошкова улагања.</w:t>
      </w:r>
    </w:p>
    <w:p w14:paraId="6C30E3B9" w14:textId="27C1BCD6" w:rsidR="00A72247" w:rsidRPr="00CE2CF6" w:rsidRDefault="00A72247" w:rsidP="00C9055F">
      <w:pPr>
        <w:spacing w:line="276" w:lineRule="auto"/>
        <w:jc w:val="both"/>
        <w:rPr>
          <w:lang w:val="sr-Cyrl-RS"/>
        </w:rPr>
      </w:pPr>
      <w:r w:rsidRPr="00CE2CF6">
        <w:rPr>
          <w:lang w:val="sr-Cyrl-RS"/>
        </w:rPr>
        <w:tab/>
        <w:t>Ради утврђивања оправданих трошкова улагања</w:t>
      </w:r>
      <w:r w:rsidR="00CC3C37" w:rsidRPr="00CE2CF6">
        <w:rPr>
          <w:lang w:val="sr-Cyrl-RS"/>
        </w:rPr>
        <w:t xml:space="preserve"> који не спадају у материјалну имовину</w:t>
      </w:r>
      <w:r w:rsidRPr="00CE2CF6">
        <w:rPr>
          <w:lang w:val="sr-Cyrl-RS"/>
        </w:rPr>
        <w:t>, интензитета подстицаја, праћења реализације инвестиционог пројекта и евентуалног повраћаја средстава, у оквиру овог Јавног позива се успоставља агрегирана основица оправданих трошкова улагања (у даљем тексту: Основица улагања).</w:t>
      </w:r>
    </w:p>
    <w:p w14:paraId="03B824FE" w14:textId="5526272E" w:rsidR="00A72247" w:rsidRPr="00CE2CF6" w:rsidRDefault="00A72247" w:rsidP="00A7224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Основица улагања представља укупне</w:t>
      </w:r>
      <w:r w:rsidR="00E462BB" w:rsidRPr="00CE2CF6">
        <w:rPr>
          <w:lang w:val="sr-Cyrl-RS"/>
        </w:rPr>
        <w:t xml:space="preserve"> оправдане</w:t>
      </w:r>
      <w:r w:rsidRPr="00CE2CF6">
        <w:rPr>
          <w:lang w:val="sr-Cyrl-RS"/>
        </w:rPr>
        <w:t xml:space="preserve"> трошкове неопходне за реализацију инвестиционог пројекта, у складу са одобреним Бизнис планом, независно од њиховог рачуноводственог третмана, и користи се искључиво за потребе доделе, праћења и контроле државне помоћи.</w:t>
      </w:r>
    </w:p>
    <w:p w14:paraId="525F0D55" w14:textId="33B9F28B" w:rsidR="00A72247" w:rsidRPr="00CE2CF6" w:rsidRDefault="00A72247" w:rsidP="00A7224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У Основицу улагања могу се укључити искључиво једнократни</w:t>
      </w:r>
      <w:r w:rsidR="00503A21" w:rsidRPr="00CE2CF6">
        <w:rPr>
          <w:lang w:val="sr-Cyrl-RS"/>
        </w:rPr>
        <w:t xml:space="preserve"> и вишегодишњи трошкови</w:t>
      </w:r>
      <w:r w:rsidRPr="00CE2CF6">
        <w:rPr>
          <w:lang w:val="sr-Cyrl-RS"/>
        </w:rPr>
        <w:t>, унапред утврдиви трошкови, непосредно повезани са реализацијом инвестиционог пројекта.</w:t>
      </w:r>
    </w:p>
    <w:p w14:paraId="363F5823" w14:textId="34675AF6" w:rsidR="00CC3C37" w:rsidRPr="00CE2CF6" w:rsidRDefault="00CC3C37" w:rsidP="00CC3C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За потребе праћења реализације пројекта, контроле пропорционалности подстицаја и евентуалног повраћаја средстава, Основица улагања се сматра вредношћу улагања </w:t>
      </w:r>
      <w:r w:rsidRPr="00CE2CF6">
        <w:rPr>
          <w:lang w:val="sr-Cyrl-RS"/>
        </w:rPr>
        <w:lastRenderedPageBreak/>
        <w:t>везаном за помоћ, која се амортизује годишње током трајања пројекта</w:t>
      </w:r>
      <w:r w:rsidR="00765E0C" w:rsidRPr="00CE2CF6">
        <w:rPr>
          <w:lang w:val="sr-Cyrl-RS"/>
        </w:rPr>
        <w:t xml:space="preserve"> и која се евидентира од стране Корисника, независно од рачуноводствених евиденција, искључиво ради праћења извршења овог програма и потврђује се извештајем ревизора</w:t>
      </w:r>
      <w:r w:rsidRPr="00CE2CF6">
        <w:rPr>
          <w:lang w:val="sr-Cyrl-RS"/>
        </w:rPr>
        <w:t>.</w:t>
      </w:r>
    </w:p>
    <w:p w14:paraId="4B00E401" w14:textId="5F107F01" w:rsidR="00CC3C37" w:rsidRPr="00CE2CF6" w:rsidRDefault="00CC3C37" w:rsidP="00116686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За оправдане трошкове</w:t>
      </w:r>
      <w:r w:rsidR="00CB0A22" w:rsidRPr="00CE2CF6">
        <w:rPr>
          <w:lang w:val="sr-Cyrl-RS"/>
        </w:rPr>
        <w:t>,</w:t>
      </w:r>
      <w:r w:rsidRPr="00CE2CF6">
        <w:rPr>
          <w:lang w:val="sr-Cyrl-RS"/>
        </w:rPr>
        <w:t xml:space="preserve"> који не спадају у материјалну имовину, годишња амортизација вредности </w:t>
      </w:r>
      <w:r w:rsidR="00765E0C" w:rsidRPr="00CE2CF6">
        <w:rPr>
          <w:lang w:val="sr-Cyrl-RS"/>
        </w:rPr>
        <w:t xml:space="preserve">основице </w:t>
      </w:r>
      <w:r w:rsidRPr="00CE2CF6">
        <w:rPr>
          <w:lang w:val="sr-Cyrl-RS"/>
        </w:rPr>
        <w:t xml:space="preserve">улагања утврђује се по највишој дозвољеној стопи за потребе овог програма од 10%, </w:t>
      </w:r>
      <w:r w:rsidR="00CB0A22" w:rsidRPr="00CE2CF6">
        <w:rPr>
          <w:lang w:val="sr-Cyrl-RS"/>
        </w:rPr>
        <w:t xml:space="preserve">а </w:t>
      </w:r>
      <w:r w:rsidRPr="00CE2CF6">
        <w:rPr>
          <w:lang w:val="sr-Cyrl-RS"/>
        </w:rPr>
        <w:t>изузетно може се одабрати и нижа стопа у зависности од трајања франшизног уговора</w:t>
      </w:r>
      <w:r w:rsidR="00116686" w:rsidRPr="00CE2CF6">
        <w:rPr>
          <w:lang w:val="sr-Cyrl-RS"/>
        </w:rPr>
        <w:t>.</w:t>
      </w:r>
    </w:p>
    <w:p w14:paraId="36775706" w14:textId="4165CD1E" w:rsidR="00CC3C37" w:rsidRPr="00CE2CF6" w:rsidRDefault="00CC3C37" w:rsidP="00CC3C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По истеку наведеног периода, сматра се да је вредност улагања у потпуности амортизована, без преостале вредности</w:t>
      </w:r>
      <w:r w:rsidR="00765E0C" w:rsidRPr="00CE2CF6">
        <w:rPr>
          <w:lang w:val="sr-Cyrl-RS"/>
        </w:rPr>
        <w:t xml:space="preserve"> у смислу овог програма</w:t>
      </w:r>
      <w:r w:rsidRPr="00CE2CF6">
        <w:rPr>
          <w:lang w:val="sr-Cyrl-RS"/>
        </w:rPr>
        <w:t>.</w:t>
      </w:r>
    </w:p>
    <w:p w14:paraId="51A74150" w14:textId="3FA78857" w:rsidR="00CC3C37" w:rsidRPr="00CE2CF6" w:rsidRDefault="00CC3C37" w:rsidP="00CC3C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Корисник је дужан да води посебну аналитичку евиденцију која садржи</w:t>
      </w:r>
      <w:r w:rsidR="00116686" w:rsidRPr="00CE2CF6">
        <w:rPr>
          <w:lang w:val="sr-Cyrl-RS"/>
        </w:rPr>
        <w:t xml:space="preserve"> </w:t>
      </w:r>
      <w:r w:rsidRPr="00CE2CF6">
        <w:rPr>
          <w:lang w:val="sr-Cyrl-RS"/>
        </w:rPr>
        <w:t>почетни износ Основице улагања,</w:t>
      </w:r>
      <w:r w:rsidR="00116686" w:rsidRPr="00CE2CF6">
        <w:rPr>
          <w:lang w:val="sr-Cyrl-RS"/>
        </w:rPr>
        <w:t xml:space="preserve"> </w:t>
      </w:r>
      <w:r w:rsidRPr="00CE2CF6">
        <w:rPr>
          <w:lang w:val="sr-Cyrl-RS"/>
        </w:rPr>
        <w:t>годишњи обрачун прогресивног трошења вредности улагања</w:t>
      </w:r>
      <w:r w:rsidR="00116686" w:rsidRPr="00CE2CF6">
        <w:rPr>
          <w:lang w:val="sr-Cyrl-RS"/>
        </w:rPr>
        <w:t xml:space="preserve"> и </w:t>
      </w:r>
      <w:r w:rsidRPr="00CE2CF6">
        <w:rPr>
          <w:lang w:val="sr-Cyrl-RS"/>
        </w:rPr>
        <w:t xml:space="preserve">преосталу вредност улагања везану за </w:t>
      </w:r>
      <w:r w:rsidR="00116686" w:rsidRPr="00CE2CF6">
        <w:rPr>
          <w:lang w:val="sr-Cyrl-RS"/>
        </w:rPr>
        <w:t>државну помоћ</w:t>
      </w:r>
      <w:r w:rsidRPr="00CE2CF6">
        <w:rPr>
          <w:lang w:val="sr-Cyrl-RS"/>
        </w:rPr>
        <w:t>.</w:t>
      </w:r>
    </w:p>
    <w:p w14:paraId="363CEEB8" w14:textId="18818B5B" w:rsidR="00CC3C37" w:rsidRPr="00CE2CF6" w:rsidRDefault="00CC3C37" w:rsidP="00CC3C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>Евиденција се води искључиво за потребе контроле државне помоћи и доставља се Министарству на захтев и као део Извештаја ревизора у складу са Уредбом.</w:t>
      </w:r>
    </w:p>
    <w:p w14:paraId="72A47948" w14:textId="77777777" w:rsidR="00BB2686" w:rsidRPr="00CE2CF6" w:rsidRDefault="00696B08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>Приликом обрачуна оправданих трошкова улагања узимају се у обзир цене умањене за износе јавних прихода.</w:t>
      </w:r>
    </w:p>
    <w:p w14:paraId="2ACDC61B" w14:textId="77777777" w:rsidR="007E10B3" w:rsidRPr="00CE2CF6" w:rsidRDefault="007E10B3" w:rsidP="00703A37">
      <w:pPr>
        <w:spacing w:line="276" w:lineRule="auto"/>
        <w:jc w:val="both"/>
        <w:rPr>
          <w:rFonts w:eastAsia="Calibri"/>
          <w:lang w:val="sr-Cyrl-RS"/>
        </w:rPr>
      </w:pPr>
    </w:p>
    <w:p w14:paraId="3335B288" w14:textId="77777777" w:rsidR="007E10B3" w:rsidRPr="00CE2CF6" w:rsidRDefault="007E10B3" w:rsidP="00703A37">
      <w:pPr>
        <w:pStyle w:val="ListParagraph"/>
        <w:numPr>
          <w:ilvl w:val="0"/>
          <w:numId w:val="12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lang w:val="sr-Cyrl-RS"/>
        </w:rPr>
      </w:pPr>
      <w:r w:rsidRPr="00CE2CF6">
        <w:rPr>
          <w:b/>
          <w:lang w:val="sr-Cyrl-RS"/>
        </w:rPr>
        <w:t>Уговор о додели средстава подстицаја</w:t>
      </w:r>
    </w:p>
    <w:p w14:paraId="2E0ED224" w14:textId="77777777" w:rsidR="007E10B3" w:rsidRPr="00CE2CF6" w:rsidRDefault="007E10B3" w:rsidP="00703A37">
      <w:pPr>
        <w:pStyle w:val="ListParagraph"/>
        <w:autoSpaceDE w:val="0"/>
        <w:autoSpaceDN w:val="0"/>
        <w:adjustRightInd w:val="0"/>
        <w:spacing w:line="276" w:lineRule="auto"/>
        <w:ind w:left="900"/>
        <w:rPr>
          <w:b/>
          <w:lang w:val="sr-Cyrl-RS"/>
        </w:rPr>
      </w:pPr>
    </w:p>
    <w:p w14:paraId="09A0748A" w14:textId="70562A1E" w:rsidR="007E10B3" w:rsidRPr="00CE2CF6" w:rsidRDefault="007E10B3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Међусобна права и обавезе у вези са коришћењем средстава подстицаја уређују се </w:t>
      </w:r>
      <w:r w:rsidR="00B4268A" w:rsidRPr="00CE2CF6">
        <w:rPr>
          <w:color w:val="000000" w:themeColor="text1"/>
          <w:lang w:val="sr-Cyrl-RS"/>
        </w:rPr>
        <w:t>У</w:t>
      </w:r>
      <w:r w:rsidRPr="00CE2CF6">
        <w:rPr>
          <w:color w:val="000000" w:themeColor="text1"/>
          <w:lang w:val="sr-Cyrl-RS"/>
        </w:rPr>
        <w:t>говором</w:t>
      </w:r>
      <w:r w:rsidR="00B4268A" w:rsidRPr="00CE2CF6">
        <w:rPr>
          <w:color w:val="000000" w:themeColor="text1"/>
          <w:lang w:val="sr-Cyrl-RS"/>
        </w:rPr>
        <w:t xml:space="preserve">. </w:t>
      </w:r>
      <w:r w:rsidRPr="00CE2CF6">
        <w:rPr>
          <w:color w:val="000000" w:themeColor="text1"/>
          <w:lang w:val="sr-Cyrl-RS"/>
        </w:rPr>
        <w:t xml:space="preserve">Саставни део </w:t>
      </w:r>
      <w:r w:rsidR="00A950F3" w:rsidRPr="00CE2CF6">
        <w:rPr>
          <w:color w:val="000000" w:themeColor="text1"/>
          <w:lang w:val="sr-Cyrl-RS"/>
        </w:rPr>
        <w:t>У</w:t>
      </w:r>
      <w:r w:rsidRPr="00CE2CF6">
        <w:rPr>
          <w:color w:val="000000" w:themeColor="text1"/>
          <w:lang w:val="sr-Cyrl-RS"/>
        </w:rPr>
        <w:t xml:space="preserve">говора је </w:t>
      </w:r>
      <w:r w:rsidR="00CB0A22" w:rsidRPr="00CE2CF6">
        <w:rPr>
          <w:color w:val="000000" w:themeColor="text1"/>
          <w:lang w:val="sr-Cyrl-RS"/>
        </w:rPr>
        <w:t>Б</w:t>
      </w:r>
      <w:r w:rsidRPr="00CE2CF6">
        <w:rPr>
          <w:color w:val="000000" w:themeColor="text1"/>
          <w:lang w:val="sr-Cyrl-RS"/>
        </w:rPr>
        <w:t>изнис план.</w:t>
      </w:r>
    </w:p>
    <w:p w14:paraId="6BA39438" w14:textId="77777777" w:rsidR="007E10B3" w:rsidRPr="00CE2CF6" w:rsidRDefault="007E10B3" w:rsidP="00703A37">
      <w:pPr>
        <w:spacing w:line="276" w:lineRule="auto"/>
        <w:ind w:firstLine="708"/>
        <w:jc w:val="both"/>
        <w:rPr>
          <w:lang w:val="sr-Cyrl-RS"/>
        </w:rPr>
      </w:pPr>
      <w:r w:rsidRPr="00CE2CF6">
        <w:rPr>
          <w:lang w:val="sr-Cyrl-RS"/>
        </w:rPr>
        <w:t>Корисник коме су додељена средства подстицаја дужан је да добијена средства искористи искључиво за реализацију инвестиционог пројекта.</w:t>
      </w:r>
    </w:p>
    <w:p w14:paraId="7D7A0A1F" w14:textId="77777777" w:rsidR="00C35086" w:rsidRPr="00CE2CF6" w:rsidRDefault="00C35086" w:rsidP="00703A37">
      <w:pPr>
        <w:spacing w:line="276" w:lineRule="auto"/>
        <w:ind w:firstLine="720"/>
        <w:jc w:val="both"/>
        <w:rPr>
          <w:lang w:val="sr-Cyrl-RS"/>
        </w:rPr>
      </w:pPr>
      <w:r w:rsidRPr="00CE2CF6">
        <w:rPr>
          <w:lang w:val="sr-Cyrl-RS"/>
        </w:rPr>
        <w:t xml:space="preserve">Током реализације инвестиционог пројекта Корисник обезбеђује </w:t>
      </w:r>
      <w:r w:rsidRPr="00CE2CF6">
        <w:rPr>
          <w:bCs/>
          <w:lang w:val="sr-Cyrl-RS"/>
        </w:rPr>
        <w:t>Извештај</w:t>
      </w:r>
      <w:r w:rsidR="00E82458" w:rsidRPr="00CE2CF6">
        <w:rPr>
          <w:bCs/>
          <w:lang w:val="sr-Cyrl-RS"/>
        </w:rPr>
        <w:t>е</w:t>
      </w:r>
      <w:r w:rsidRPr="00CE2CF6">
        <w:rPr>
          <w:bCs/>
          <w:lang w:val="sr-Cyrl-RS"/>
        </w:rPr>
        <w:t xml:space="preserve"> ревизора</w:t>
      </w:r>
      <w:r w:rsidRPr="00CE2CF6">
        <w:rPr>
          <w:lang w:val="sr-Cyrl-RS"/>
        </w:rPr>
        <w:t>.</w:t>
      </w:r>
    </w:p>
    <w:p w14:paraId="4DE3491D" w14:textId="18DBBBC9" w:rsidR="007E10B3" w:rsidRPr="00CE2CF6" w:rsidRDefault="007E10B3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>Министарство врши контролу испуњења обавеза Корисника у вези са реализацијом инвестиционог пројекта и Уговора, а на основу Извештаја ревизора.</w:t>
      </w:r>
    </w:p>
    <w:p w14:paraId="40BFDA39" w14:textId="75B57C3A" w:rsidR="00CD04C8" w:rsidRPr="00CE2CF6" w:rsidRDefault="00CD04C8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 xml:space="preserve">Током периода мониторинга </w:t>
      </w:r>
      <w:r w:rsidR="00AE44B5" w:rsidRPr="00CE2CF6">
        <w:rPr>
          <w:rFonts w:eastAsia="Calibri"/>
          <w:lang w:val="sr-Cyrl-RS"/>
        </w:rPr>
        <w:t>Корисник обезбеђује</w:t>
      </w:r>
      <w:r w:rsidRPr="00CE2CF6">
        <w:rPr>
          <w:rFonts w:eastAsia="Calibri"/>
          <w:lang w:val="sr-Cyrl-RS"/>
        </w:rPr>
        <w:t xml:space="preserve"> посебан </w:t>
      </w:r>
      <w:r w:rsidR="00AE44B5" w:rsidRPr="00CE2CF6">
        <w:rPr>
          <w:rFonts w:eastAsia="Calibri"/>
          <w:lang w:val="sr-Cyrl-RS"/>
        </w:rPr>
        <w:t>И</w:t>
      </w:r>
      <w:r w:rsidRPr="00CE2CF6">
        <w:rPr>
          <w:rFonts w:eastAsia="Calibri"/>
          <w:lang w:val="sr-Cyrl-RS"/>
        </w:rPr>
        <w:t xml:space="preserve">звештај </w:t>
      </w:r>
      <w:r w:rsidR="00AE44B5" w:rsidRPr="00CE2CF6">
        <w:rPr>
          <w:rFonts w:eastAsia="Calibri"/>
          <w:lang w:val="sr-Cyrl-RS"/>
        </w:rPr>
        <w:t>мониторинга.</w:t>
      </w:r>
    </w:p>
    <w:p w14:paraId="2378AF22" w14:textId="52AB51D0" w:rsidR="007E10B3" w:rsidRPr="00CE2CF6" w:rsidRDefault="007E10B3" w:rsidP="002F4DDE">
      <w:pPr>
        <w:shd w:val="clear" w:color="auto" w:fill="FFFFFF"/>
        <w:tabs>
          <w:tab w:val="left" w:pos="1440"/>
        </w:tabs>
        <w:spacing w:line="276" w:lineRule="auto"/>
        <w:ind w:firstLine="709"/>
        <w:jc w:val="both"/>
        <w:rPr>
          <w:lang w:val="sr-Cyrl-RS" w:eastAsia="sr-Latn-CS"/>
        </w:rPr>
      </w:pPr>
      <w:r w:rsidRPr="00CE2CF6">
        <w:rPr>
          <w:lang w:val="sr-Cyrl-RS"/>
        </w:rPr>
        <w:t xml:space="preserve">Овлашћени ревизор, у смислу </w:t>
      </w:r>
      <w:r w:rsidR="00CB0A22" w:rsidRPr="00CE2CF6">
        <w:rPr>
          <w:lang w:val="sr-Cyrl-RS"/>
        </w:rPr>
        <w:t>У</w:t>
      </w:r>
      <w:r w:rsidRPr="00CE2CF6">
        <w:rPr>
          <w:lang w:val="sr-Cyrl-RS"/>
        </w:rPr>
        <w:t xml:space="preserve">редбе, је ревизорско </w:t>
      </w:r>
      <w:r w:rsidRPr="00CE2CF6">
        <w:rPr>
          <w:lang w:val="sr-Cyrl-RS" w:eastAsia="sr-Latn-CS"/>
        </w:rPr>
        <w:t xml:space="preserve">друштво које </w:t>
      </w:r>
      <w:r w:rsidRPr="00CE2CF6">
        <w:rPr>
          <w:lang w:val="sr-Cyrl-RS"/>
        </w:rPr>
        <w:t>поседује осигурање од професионалне одговорности</w:t>
      </w:r>
      <w:r w:rsidRPr="00CE2CF6">
        <w:rPr>
          <w:lang w:val="sr-Cyrl-RS" w:eastAsia="sr-Latn-CS"/>
        </w:rPr>
        <w:t xml:space="preserve"> и које</w:t>
      </w:r>
      <w:r w:rsidR="002F4DDE" w:rsidRPr="00CE2CF6">
        <w:rPr>
          <w:lang w:val="sr-Cyrl-RS" w:eastAsia="sr-Latn-CS"/>
        </w:rPr>
        <w:t>,</w:t>
      </w:r>
      <w:r w:rsidRPr="00CE2CF6">
        <w:rPr>
          <w:lang w:val="sr-Cyrl-RS" w:eastAsia="sr-Latn-CS"/>
        </w:rPr>
        <w:t xml:space="preserve"> у радном односу са пуним радним временом, има запослена најмање четири лиценцирана овлашћена ревизора.</w:t>
      </w:r>
    </w:p>
    <w:p w14:paraId="6A8D197B" w14:textId="13EEB3B9" w:rsidR="00453923" w:rsidRPr="004D2508" w:rsidRDefault="007E10B3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CE2CF6">
        <w:rPr>
          <w:rFonts w:eastAsia="Calibri"/>
          <w:lang w:val="sr-Cyrl-RS"/>
        </w:rPr>
        <w:t xml:space="preserve">Детаљније информације о Извештају ревизора, </w:t>
      </w:r>
      <w:r w:rsidR="00796A84" w:rsidRPr="00CE2CF6">
        <w:rPr>
          <w:rFonts w:eastAsia="Calibri"/>
          <w:lang w:val="sr-Cyrl-RS"/>
        </w:rPr>
        <w:t>Извештај</w:t>
      </w:r>
      <w:r w:rsidR="00CB0A22" w:rsidRPr="00CE2CF6">
        <w:rPr>
          <w:rFonts w:eastAsia="Calibri"/>
          <w:lang w:val="sr-Cyrl-RS"/>
        </w:rPr>
        <w:t>у</w:t>
      </w:r>
      <w:r w:rsidR="00796A84" w:rsidRPr="00CE2CF6">
        <w:rPr>
          <w:rFonts w:eastAsia="Calibri"/>
          <w:lang w:val="sr-Cyrl-RS"/>
        </w:rPr>
        <w:t xml:space="preserve"> мониторинга, </w:t>
      </w:r>
      <w:r w:rsidRPr="00CE2CF6">
        <w:rPr>
          <w:rFonts w:eastAsia="Calibri"/>
          <w:lang w:val="sr-Cyrl-RS"/>
        </w:rPr>
        <w:t>обавезама Корисника у делу извештавања и правним последицама садржане су, између осталог, и у чл</w:t>
      </w:r>
      <w:r w:rsidR="002F4DDE" w:rsidRPr="00CE2CF6">
        <w:rPr>
          <w:rFonts w:eastAsia="Calibri"/>
          <w:lang w:val="sr-Cyrl-RS"/>
        </w:rPr>
        <w:t>.</w:t>
      </w:r>
      <w:r w:rsidRPr="00CE2CF6">
        <w:rPr>
          <w:rFonts w:eastAsia="Calibri"/>
          <w:lang w:val="sr-Cyrl-RS"/>
        </w:rPr>
        <w:t xml:space="preserve"> </w:t>
      </w:r>
      <w:r w:rsidR="002A3C83" w:rsidRPr="00CE2CF6">
        <w:rPr>
          <w:rFonts w:eastAsia="Calibri"/>
          <w:lang w:val="sr-Cyrl-RS"/>
        </w:rPr>
        <w:t xml:space="preserve">9. и </w:t>
      </w:r>
      <w:r w:rsidRPr="00CE2CF6">
        <w:rPr>
          <w:rFonts w:eastAsia="Calibri"/>
          <w:lang w:val="sr-Cyrl-RS"/>
        </w:rPr>
        <w:t>10. Уредбе.</w:t>
      </w:r>
    </w:p>
    <w:p w14:paraId="219F85C1" w14:textId="77777777" w:rsidR="00A72247" w:rsidRPr="004D2508" w:rsidRDefault="00A72247" w:rsidP="00703A37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sectPr w:rsidR="00A72247" w:rsidRPr="004D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74C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0734A"/>
    <w:multiLevelType w:val="hybridMultilevel"/>
    <w:tmpl w:val="7EEA69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E73"/>
    <w:multiLevelType w:val="hybridMultilevel"/>
    <w:tmpl w:val="AC886410"/>
    <w:lvl w:ilvl="0" w:tplc="DEAE4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6650A5"/>
    <w:multiLevelType w:val="hybridMultilevel"/>
    <w:tmpl w:val="7EEA69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7380"/>
    <w:multiLevelType w:val="hybridMultilevel"/>
    <w:tmpl w:val="E6282694"/>
    <w:lvl w:ilvl="0" w:tplc="87C4F85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B42B8"/>
    <w:multiLevelType w:val="hybridMultilevel"/>
    <w:tmpl w:val="EEDC303E"/>
    <w:lvl w:ilvl="0" w:tplc="F746C26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7156127"/>
    <w:multiLevelType w:val="multilevel"/>
    <w:tmpl w:val="B8F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9484C"/>
    <w:multiLevelType w:val="hybridMultilevel"/>
    <w:tmpl w:val="56D21336"/>
    <w:lvl w:ilvl="0" w:tplc="FAF8A80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0B03B4"/>
    <w:multiLevelType w:val="hybridMultilevel"/>
    <w:tmpl w:val="C8BA3EA6"/>
    <w:lvl w:ilvl="0" w:tplc="F47820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909"/>
    <w:multiLevelType w:val="hybridMultilevel"/>
    <w:tmpl w:val="9EC224F4"/>
    <w:lvl w:ilvl="0" w:tplc="22A2E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1D67"/>
    <w:multiLevelType w:val="hybridMultilevel"/>
    <w:tmpl w:val="DA546614"/>
    <w:lvl w:ilvl="0" w:tplc="D7067B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46168"/>
    <w:multiLevelType w:val="hybridMultilevel"/>
    <w:tmpl w:val="6F3A7E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25"/>
    <w:multiLevelType w:val="hybridMultilevel"/>
    <w:tmpl w:val="AE2C6970"/>
    <w:lvl w:ilvl="0" w:tplc="F746C26C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A7167"/>
    <w:multiLevelType w:val="multilevel"/>
    <w:tmpl w:val="AF9E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F35EC"/>
    <w:multiLevelType w:val="hybridMultilevel"/>
    <w:tmpl w:val="F7180862"/>
    <w:lvl w:ilvl="0" w:tplc="241A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90E99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44F58"/>
    <w:multiLevelType w:val="hybridMultilevel"/>
    <w:tmpl w:val="E6282694"/>
    <w:lvl w:ilvl="0" w:tplc="87C4F85E">
      <w:start w:val="1"/>
      <w:numFmt w:val="decimal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42C"/>
    <w:multiLevelType w:val="hybridMultilevel"/>
    <w:tmpl w:val="6C684D5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3933B87"/>
    <w:multiLevelType w:val="hybridMultilevel"/>
    <w:tmpl w:val="FEB4DFE6"/>
    <w:lvl w:ilvl="0" w:tplc="F746C26C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D282C"/>
    <w:multiLevelType w:val="hybridMultilevel"/>
    <w:tmpl w:val="DCD4385A"/>
    <w:lvl w:ilvl="0" w:tplc="7FAE9BD6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8B77C2C"/>
    <w:multiLevelType w:val="multilevel"/>
    <w:tmpl w:val="C978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1753E"/>
    <w:multiLevelType w:val="hybridMultilevel"/>
    <w:tmpl w:val="50FE76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F474F6"/>
    <w:multiLevelType w:val="hybridMultilevel"/>
    <w:tmpl w:val="CEEE1C48"/>
    <w:lvl w:ilvl="0" w:tplc="2FA8B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50A8D"/>
    <w:multiLevelType w:val="hybridMultilevel"/>
    <w:tmpl w:val="528C3006"/>
    <w:lvl w:ilvl="0" w:tplc="BCE2E4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C2F2160"/>
    <w:multiLevelType w:val="hybridMultilevel"/>
    <w:tmpl w:val="6F3A7E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A67D2"/>
    <w:multiLevelType w:val="hybridMultilevel"/>
    <w:tmpl w:val="58761AA4"/>
    <w:lvl w:ilvl="0" w:tplc="50D6B81A">
      <w:start w:val="1"/>
      <w:numFmt w:val="upperLetter"/>
      <w:pStyle w:val="KNPreamblecontract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373C"/>
    <w:multiLevelType w:val="hybridMultilevel"/>
    <w:tmpl w:val="795A020A"/>
    <w:lvl w:ilvl="0" w:tplc="143EE2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B772E4"/>
    <w:multiLevelType w:val="hybridMultilevel"/>
    <w:tmpl w:val="6B4CD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E02DC"/>
    <w:multiLevelType w:val="hybridMultilevel"/>
    <w:tmpl w:val="E5DCBF10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6"/>
  </w:num>
  <w:num w:numId="6">
    <w:abstractNumId w:val="12"/>
  </w:num>
  <w:num w:numId="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</w:num>
  <w:num w:numId="9">
    <w:abstractNumId w:val="18"/>
  </w:num>
  <w:num w:numId="10">
    <w:abstractNumId w:val="21"/>
  </w:num>
  <w:num w:numId="11">
    <w:abstractNumId w:val="5"/>
  </w:num>
  <w:num w:numId="12">
    <w:abstractNumId w:val="24"/>
  </w:num>
  <w:num w:numId="13">
    <w:abstractNumId w:val="7"/>
  </w:num>
  <w:num w:numId="14">
    <w:abstractNumId w:val="10"/>
  </w:num>
  <w:num w:numId="15">
    <w:abstractNumId w:val="16"/>
  </w:num>
  <w:num w:numId="16">
    <w:abstractNumId w:val="17"/>
  </w:num>
  <w:num w:numId="17">
    <w:abstractNumId w:val="23"/>
  </w:num>
  <w:num w:numId="18">
    <w:abstractNumId w:val="1"/>
  </w:num>
  <w:num w:numId="19">
    <w:abstractNumId w:val="3"/>
  </w:num>
  <w:num w:numId="20">
    <w:abstractNumId w:val="25"/>
  </w:num>
  <w:num w:numId="21">
    <w:abstractNumId w:val="2"/>
  </w:num>
  <w:num w:numId="22">
    <w:abstractNumId w:val="11"/>
  </w:num>
  <w:num w:numId="23">
    <w:abstractNumId w:val="6"/>
  </w:num>
  <w:num w:numId="24">
    <w:abstractNumId w:val="0"/>
  </w:num>
  <w:num w:numId="25">
    <w:abstractNumId w:val="20"/>
  </w:num>
  <w:num w:numId="26">
    <w:abstractNumId w:val="13"/>
  </w:num>
  <w:num w:numId="27">
    <w:abstractNumId w:val="15"/>
  </w:num>
  <w:num w:numId="28">
    <w:abstractNumId w:val="9"/>
  </w:num>
  <w:num w:numId="29">
    <w:abstractNumId w:val="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23"/>
    <w:rsid w:val="00016638"/>
    <w:rsid w:val="0002129F"/>
    <w:rsid w:val="00023196"/>
    <w:rsid w:val="000424E8"/>
    <w:rsid w:val="00050AC4"/>
    <w:rsid w:val="00050BA9"/>
    <w:rsid w:val="00057DFC"/>
    <w:rsid w:val="000649B2"/>
    <w:rsid w:val="0006649C"/>
    <w:rsid w:val="00067918"/>
    <w:rsid w:val="0007291F"/>
    <w:rsid w:val="000730ED"/>
    <w:rsid w:val="00074FD4"/>
    <w:rsid w:val="00077049"/>
    <w:rsid w:val="00084A84"/>
    <w:rsid w:val="00085E38"/>
    <w:rsid w:val="00091350"/>
    <w:rsid w:val="0009522B"/>
    <w:rsid w:val="0009723E"/>
    <w:rsid w:val="0009735B"/>
    <w:rsid w:val="000A0658"/>
    <w:rsid w:val="000A63C1"/>
    <w:rsid w:val="000B1B48"/>
    <w:rsid w:val="000C31A9"/>
    <w:rsid w:val="000D007A"/>
    <w:rsid w:val="000D11C7"/>
    <w:rsid w:val="000D3016"/>
    <w:rsid w:val="000D67C1"/>
    <w:rsid w:val="000E73A9"/>
    <w:rsid w:val="000F1089"/>
    <w:rsid w:val="000F291E"/>
    <w:rsid w:val="000F3446"/>
    <w:rsid w:val="000F382E"/>
    <w:rsid w:val="000F72E5"/>
    <w:rsid w:val="00100882"/>
    <w:rsid w:val="001071EB"/>
    <w:rsid w:val="001113C8"/>
    <w:rsid w:val="00116686"/>
    <w:rsid w:val="0012103E"/>
    <w:rsid w:val="001510FB"/>
    <w:rsid w:val="00151610"/>
    <w:rsid w:val="001617A7"/>
    <w:rsid w:val="001743BC"/>
    <w:rsid w:val="001748EA"/>
    <w:rsid w:val="00176A19"/>
    <w:rsid w:val="0018004B"/>
    <w:rsid w:val="0019331B"/>
    <w:rsid w:val="001949ED"/>
    <w:rsid w:val="00196263"/>
    <w:rsid w:val="001A474E"/>
    <w:rsid w:val="001A740F"/>
    <w:rsid w:val="001B1C66"/>
    <w:rsid w:val="001B4A69"/>
    <w:rsid w:val="001C0005"/>
    <w:rsid w:val="001C4793"/>
    <w:rsid w:val="001D0209"/>
    <w:rsid w:val="001D4370"/>
    <w:rsid w:val="00200A38"/>
    <w:rsid w:val="00201EA1"/>
    <w:rsid w:val="002069CB"/>
    <w:rsid w:val="00211264"/>
    <w:rsid w:val="002140E2"/>
    <w:rsid w:val="002207F3"/>
    <w:rsid w:val="00236CF1"/>
    <w:rsid w:val="00246AA8"/>
    <w:rsid w:val="0025055E"/>
    <w:rsid w:val="002640A3"/>
    <w:rsid w:val="002669DE"/>
    <w:rsid w:val="00274B2E"/>
    <w:rsid w:val="00282B1E"/>
    <w:rsid w:val="002849A8"/>
    <w:rsid w:val="002A3C83"/>
    <w:rsid w:val="002A4F12"/>
    <w:rsid w:val="002A6E11"/>
    <w:rsid w:val="002B6A92"/>
    <w:rsid w:val="002C0B44"/>
    <w:rsid w:val="002C7157"/>
    <w:rsid w:val="002D0505"/>
    <w:rsid w:val="002E34E7"/>
    <w:rsid w:val="002F0C20"/>
    <w:rsid w:val="002F4DDE"/>
    <w:rsid w:val="002F58A2"/>
    <w:rsid w:val="002F6982"/>
    <w:rsid w:val="00300335"/>
    <w:rsid w:val="00301813"/>
    <w:rsid w:val="00305B9A"/>
    <w:rsid w:val="003068BC"/>
    <w:rsid w:val="003166C1"/>
    <w:rsid w:val="00316D71"/>
    <w:rsid w:val="00320679"/>
    <w:rsid w:val="00323036"/>
    <w:rsid w:val="00334D34"/>
    <w:rsid w:val="003354AA"/>
    <w:rsid w:val="00342D5A"/>
    <w:rsid w:val="0034322C"/>
    <w:rsid w:val="00347C94"/>
    <w:rsid w:val="003546CF"/>
    <w:rsid w:val="00356FDD"/>
    <w:rsid w:val="0035786C"/>
    <w:rsid w:val="003619C2"/>
    <w:rsid w:val="00365260"/>
    <w:rsid w:val="00370C99"/>
    <w:rsid w:val="00370DC0"/>
    <w:rsid w:val="00374EB0"/>
    <w:rsid w:val="00375D4D"/>
    <w:rsid w:val="00376402"/>
    <w:rsid w:val="00377179"/>
    <w:rsid w:val="00384489"/>
    <w:rsid w:val="0039491B"/>
    <w:rsid w:val="003961DE"/>
    <w:rsid w:val="003A4C83"/>
    <w:rsid w:val="003A6FDA"/>
    <w:rsid w:val="003C2B35"/>
    <w:rsid w:val="003D1373"/>
    <w:rsid w:val="003D596D"/>
    <w:rsid w:val="003E7E83"/>
    <w:rsid w:val="003F4710"/>
    <w:rsid w:val="0040567F"/>
    <w:rsid w:val="004129E1"/>
    <w:rsid w:val="0042420D"/>
    <w:rsid w:val="00427C18"/>
    <w:rsid w:val="00434180"/>
    <w:rsid w:val="0045050D"/>
    <w:rsid w:val="00453923"/>
    <w:rsid w:val="00461740"/>
    <w:rsid w:val="00461D11"/>
    <w:rsid w:val="00462410"/>
    <w:rsid w:val="00474469"/>
    <w:rsid w:val="00474E24"/>
    <w:rsid w:val="0048488E"/>
    <w:rsid w:val="00486A70"/>
    <w:rsid w:val="0049247D"/>
    <w:rsid w:val="004A245A"/>
    <w:rsid w:val="004A40A0"/>
    <w:rsid w:val="004A67C5"/>
    <w:rsid w:val="004A6FE3"/>
    <w:rsid w:val="004B4A92"/>
    <w:rsid w:val="004B6A01"/>
    <w:rsid w:val="004B6B87"/>
    <w:rsid w:val="004D2508"/>
    <w:rsid w:val="004D3722"/>
    <w:rsid w:val="004D7D50"/>
    <w:rsid w:val="004E4038"/>
    <w:rsid w:val="004E7A31"/>
    <w:rsid w:val="004F28CB"/>
    <w:rsid w:val="00502595"/>
    <w:rsid w:val="00503666"/>
    <w:rsid w:val="00503A21"/>
    <w:rsid w:val="00516011"/>
    <w:rsid w:val="005217BF"/>
    <w:rsid w:val="0052310D"/>
    <w:rsid w:val="005337EB"/>
    <w:rsid w:val="00534AA7"/>
    <w:rsid w:val="00540F48"/>
    <w:rsid w:val="0054158B"/>
    <w:rsid w:val="0054791D"/>
    <w:rsid w:val="005521B8"/>
    <w:rsid w:val="00555BD0"/>
    <w:rsid w:val="00562BE1"/>
    <w:rsid w:val="005669CA"/>
    <w:rsid w:val="00566E0B"/>
    <w:rsid w:val="00571191"/>
    <w:rsid w:val="0058054F"/>
    <w:rsid w:val="00590766"/>
    <w:rsid w:val="00597958"/>
    <w:rsid w:val="005A3A68"/>
    <w:rsid w:val="005B0BB8"/>
    <w:rsid w:val="005B3452"/>
    <w:rsid w:val="005B7714"/>
    <w:rsid w:val="005C20DB"/>
    <w:rsid w:val="005E0C05"/>
    <w:rsid w:val="005E2C08"/>
    <w:rsid w:val="005E349B"/>
    <w:rsid w:val="005E5DB6"/>
    <w:rsid w:val="005F47E9"/>
    <w:rsid w:val="0061574D"/>
    <w:rsid w:val="006157BE"/>
    <w:rsid w:val="006205D3"/>
    <w:rsid w:val="00624288"/>
    <w:rsid w:val="00624380"/>
    <w:rsid w:val="006355F6"/>
    <w:rsid w:val="006413CF"/>
    <w:rsid w:val="006521DB"/>
    <w:rsid w:val="00670DCB"/>
    <w:rsid w:val="00680352"/>
    <w:rsid w:val="00680C46"/>
    <w:rsid w:val="0068464D"/>
    <w:rsid w:val="00686280"/>
    <w:rsid w:val="00686756"/>
    <w:rsid w:val="006942EA"/>
    <w:rsid w:val="00695E66"/>
    <w:rsid w:val="00696B08"/>
    <w:rsid w:val="006B43E2"/>
    <w:rsid w:val="006C3A77"/>
    <w:rsid w:val="006C5336"/>
    <w:rsid w:val="006D37D9"/>
    <w:rsid w:val="006D40FB"/>
    <w:rsid w:val="006D7AA0"/>
    <w:rsid w:val="006E39BD"/>
    <w:rsid w:val="006F5C84"/>
    <w:rsid w:val="006F7D8B"/>
    <w:rsid w:val="00703A37"/>
    <w:rsid w:val="00706FEB"/>
    <w:rsid w:val="00711521"/>
    <w:rsid w:val="00713489"/>
    <w:rsid w:val="00713F78"/>
    <w:rsid w:val="007416B6"/>
    <w:rsid w:val="00754150"/>
    <w:rsid w:val="00760D21"/>
    <w:rsid w:val="0076275A"/>
    <w:rsid w:val="007654E0"/>
    <w:rsid w:val="00765E0C"/>
    <w:rsid w:val="00781FFF"/>
    <w:rsid w:val="007825B2"/>
    <w:rsid w:val="00790B28"/>
    <w:rsid w:val="00790F8E"/>
    <w:rsid w:val="007965DD"/>
    <w:rsid w:val="00796A84"/>
    <w:rsid w:val="007A057E"/>
    <w:rsid w:val="007A11A5"/>
    <w:rsid w:val="007A1589"/>
    <w:rsid w:val="007A2B4B"/>
    <w:rsid w:val="007B2BDF"/>
    <w:rsid w:val="007B3038"/>
    <w:rsid w:val="007B7BBA"/>
    <w:rsid w:val="007D0B76"/>
    <w:rsid w:val="007D3F6E"/>
    <w:rsid w:val="007E10B3"/>
    <w:rsid w:val="007E6581"/>
    <w:rsid w:val="007F0220"/>
    <w:rsid w:val="007F39A0"/>
    <w:rsid w:val="007F7173"/>
    <w:rsid w:val="00811AB9"/>
    <w:rsid w:val="008230A0"/>
    <w:rsid w:val="00824A80"/>
    <w:rsid w:val="0083087E"/>
    <w:rsid w:val="00843E10"/>
    <w:rsid w:val="00847C71"/>
    <w:rsid w:val="00855950"/>
    <w:rsid w:val="008626A1"/>
    <w:rsid w:val="008712D2"/>
    <w:rsid w:val="00872C36"/>
    <w:rsid w:val="008734F7"/>
    <w:rsid w:val="00874282"/>
    <w:rsid w:val="00876FD4"/>
    <w:rsid w:val="0088136F"/>
    <w:rsid w:val="008855EC"/>
    <w:rsid w:val="008868D4"/>
    <w:rsid w:val="008936D7"/>
    <w:rsid w:val="008946CE"/>
    <w:rsid w:val="0089523E"/>
    <w:rsid w:val="008A2AA8"/>
    <w:rsid w:val="008A7C8B"/>
    <w:rsid w:val="008C54AC"/>
    <w:rsid w:val="008C6306"/>
    <w:rsid w:val="008D6D8C"/>
    <w:rsid w:val="008D71C2"/>
    <w:rsid w:val="008F6DCA"/>
    <w:rsid w:val="008F781C"/>
    <w:rsid w:val="00900123"/>
    <w:rsid w:val="0090664C"/>
    <w:rsid w:val="009066CC"/>
    <w:rsid w:val="009176F6"/>
    <w:rsid w:val="00922549"/>
    <w:rsid w:val="00933EDC"/>
    <w:rsid w:val="00935737"/>
    <w:rsid w:val="00936B90"/>
    <w:rsid w:val="009377EA"/>
    <w:rsid w:val="00970264"/>
    <w:rsid w:val="00995104"/>
    <w:rsid w:val="009A06B1"/>
    <w:rsid w:val="009A418F"/>
    <w:rsid w:val="009C1D04"/>
    <w:rsid w:val="009D4DE9"/>
    <w:rsid w:val="009D5429"/>
    <w:rsid w:val="009D6A38"/>
    <w:rsid w:val="009E7F6A"/>
    <w:rsid w:val="009F42F7"/>
    <w:rsid w:val="00A00FE6"/>
    <w:rsid w:val="00A05EB7"/>
    <w:rsid w:val="00A16C8F"/>
    <w:rsid w:val="00A27A43"/>
    <w:rsid w:val="00A31726"/>
    <w:rsid w:val="00A40B60"/>
    <w:rsid w:val="00A42218"/>
    <w:rsid w:val="00A42476"/>
    <w:rsid w:val="00A44C87"/>
    <w:rsid w:val="00A44FBF"/>
    <w:rsid w:val="00A51B5C"/>
    <w:rsid w:val="00A51D44"/>
    <w:rsid w:val="00A636AF"/>
    <w:rsid w:val="00A63924"/>
    <w:rsid w:val="00A66083"/>
    <w:rsid w:val="00A72247"/>
    <w:rsid w:val="00A72D29"/>
    <w:rsid w:val="00A87549"/>
    <w:rsid w:val="00A950F3"/>
    <w:rsid w:val="00A953BD"/>
    <w:rsid w:val="00AA5D08"/>
    <w:rsid w:val="00AA6DE8"/>
    <w:rsid w:val="00AA7AA7"/>
    <w:rsid w:val="00AC2BD4"/>
    <w:rsid w:val="00AC5417"/>
    <w:rsid w:val="00AD6CD5"/>
    <w:rsid w:val="00AE1654"/>
    <w:rsid w:val="00AE44B5"/>
    <w:rsid w:val="00AE6A3F"/>
    <w:rsid w:val="00AF3A59"/>
    <w:rsid w:val="00B05056"/>
    <w:rsid w:val="00B208A1"/>
    <w:rsid w:val="00B23CF9"/>
    <w:rsid w:val="00B324E2"/>
    <w:rsid w:val="00B3341F"/>
    <w:rsid w:val="00B37AF0"/>
    <w:rsid w:val="00B4268A"/>
    <w:rsid w:val="00B51387"/>
    <w:rsid w:val="00B52697"/>
    <w:rsid w:val="00B5375E"/>
    <w:rsid w:val="00B62499"/>
    <w:rsid w:val="00B6269E"/>
    <w:rsid w:val="00B72744"/>
    <w:rsid w:val="00B72B28"/>
    <w:rsid w:val="00B916EE"/>
    <w:rsid w:val="00B93900"/>
    <w:rsid w:val="00B97220"/>
    <w:rsid w:val="00B9729D"/>
    <w:rsid w:val="00BA1C3F"/>
    <w:rsid w:val="00BA4E03"/>
    <w:rsid w:val="00BB2686"/>
    <w:rsid w:val="00BC4A1D"/>
    <w:rsid w:val="00BC729D"/>
    <w:rsid w:val="00BD678B"/>
    <w:rsid w:val="00BE6EA8"/>
    <w:rsid w:val="00BE7570"/>
    <w:rsid w:val="00C16897"/>
    <w:rsid w:val="00C21323"/>
    <w:rsid w:val="00C263CF"/>
    <w:rsid w:val="00C278F0"/>
    <w:rsid w:val="00C34B58"/>
    <w:rsid w:val="00C35086"/>
    <w:rsid w:val="00C37106"/>
    <w:rsid w:val="00C4161E"/>
    <w:rsid w:val="00C530EC"/>
    <w:rsid w:val="00C74515"/>
    <w:rsid w:val="00C750BB"/>
    <w:rsid w:val="00C86C30"/>
    <w:rsid w:val="00C870B9"/>
    <w:rsid w:val="00C877B4"/>
    <w:rsid w:val="00C9046F"/>
    <w:rsid w:val="00C9055F"/>
    <w:rsid w:val="00C92384"/>
    <w:rsid w:val="00C92BD4"/>
    <w:rsid w:val="00C949A0"/>
    <w:rsid w:val="00CA33E7"/>
    <w:rsid w:val="00CA3929"/>
    <w:rsid w:val="00CA6084"/>
    <w:rsid w:val="00CB0A22"/>
    <w:rsid w:val="00CB12FC"/>
    <w:rsid w:val="00CB3F4A"/>
    <w:rsid w:val="00CB63A6"/>
    <w:rsid w:val="00CC1AC6"/>
    <w:rsid w:val="00CC3C37"/>
    <w:rsid w:val="00CD04C8"/>
    <w:rsid w:val="00CE28C8"/>
    <w:rsid w:val="00CE2B47"/>
    <w:rsid w:val="00CE2CF6"/>
    <w:rsid w:val="00CE3732"/>
    <w:rsid w:val="00CE5322"/>
    <w:rsid w:val="00CE5D5E"/>
    <w:rsid w:val="00D00D26"/>
    <w:rsid w:val="00D03A21"/>
    <w:rsid w:val="00D16E14"/>
    <w:rsid w:val="00D178AD"/>
    <w:rsid w:val="00D20B9A"/>
    <w:rsid w:val="00D22B70"/>
    <w:rsid w:val="00D2574F"/>
    <w:rsid w:val="00D27353"/>
    <w:rsid w:val="00D321A4"/>
    <w:rsid w:val="00D3775F"/>
    <w:rsid w:val="00D420B7"/>
    <w:rsid w:val="00D43854"/>
    <w:rsid w:val="00D524F8"/>
    <w:rsid w:val="00D607AE"/>
    <w:rsid w:val="00D63FD5"/>
    <w:rsid w:val="00D669E1"/>
    <w:rsid w:val="00D67195"/>
    <w:rsid w:val="00D71733"/>
    <w:rsid w:val="00D72B28"/>
    <w:rsid w:val="00D91183"/>
    <w:rsid w:val="00D92BBC"/>
    <w:rsid w:val="00D9609F"/>
    <w:rsid w:val="00DA4EDF"/>
    <w:rsid w:val="00DB015B"/>
    <w:rsid w:val="00DB08F4"/>
    <w:rsid w:val="00DC2521"/>
    <w:rsid w:val="00DC2969"/>
    <w:rsid w:val="00DC4F8B"/>
    <w:rsid w:val="00DD1EC1"/>
    <w:rsid w:val="00DE4C98"/>
    <w:rsid w:val="00DE6134"/>
    <w:rsid w:val="00DF0F57"/>
    <w:rsid w:val="00DF73F4"/>
    <w:rsid w:val="00E26B81"/>
    <w:rsid w:val="00E317A8"/>
    <w:rsid w:val="00E332D3"/>
    <w:rsid w:val="00E339E0"/>
    <w:rsid w:val="00E35535"/>
    <w:rsid w:val="00E44689"/>
    <w:rsid w:val="00E462BB"/>
    <w:rsid w:val="00E46B6A"/>
    <w:rsid w:val="00E57B03"/>
    <w:rsid w:val="00E82458"/>
    <w:rsid w:val="00E957C5"/>
    <w:rsid w:val="00EA0C0C"/>
    <w:rsid w:val="00EA1D46"/>
    <w:rsid w:val="00EA4079"/>
    <w:rsid w:val="00EA4576"/>
    <w:rsid w:val="00EA5D37"/>
    <w:rsid w:val="00EB5779"/>
    <w:rsid w:val="00EC130B"/>
    <w:rsid w:val="00EC403F"/>
    <w:rsid w:val="00ED195F"/>
    <w:rsid w:val="00ED3888"/>
    <w:rsid w:val="00EE0FF7"/>
    <w:rsid w:val="00EF71EF"/>
    <w:rsid w:val="00F0133D"/>
    <w:rsid w:val="00F072BD"/>
    <w:rsid w:val="00F21519"/>
    <w:rsid w:val="00F26C33"/>
    <w:rsid w:val="00F315F2"/>
    <w:rsid w:val="00F36575"/>
    <w:rsid w:val="00F36941"/>
    <w:rsid w:val="00F37804"/>
    <w:rsid w:val="00F4041E"/>
    <w:rsid w:val="00F40B2D"/>
    <w:rsid w:val="00F41EC9"/>
    <w:rsid w:val="00F479AE"/>
    <w:rsid w:val="00F520BA"/>
    <w:rsid w:val="00F8117B"/>
    <w:rsid w:val="00F91C13"/>
    <w:rsid w:val="00F920CB"/>
    <w:rsid w:val="00F935D7"/>
    <w:rsid w:val="00F9599D"/>
    <w:rsid w:val="00F97909"/>
    <w:rsid w:val="00FA4298"/>
    <w:rsid w:val="00FA4B1A"/>
    <w:rsid w:val="00FB222F"/>
    <w:rsid w:val="00FB5C2F"/>
    <w:rsid w:val="00FD6302"/>
    <w:rsid w:val="00FE7601"/>
    <w:rsid w:val="00FF472E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5A0B"/>
  <w15:chartTrackingRefBased/>
  <w15:docId w15:val="{7AC0C8FD-BA12-40D2-81A4-4AEED15E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E76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23"/>
    <w:pPr>
      <w:ind w:left="720"/>
      <w:contextualSpacing/>
    </w:pPr>
  </w:style>
  <w:style w:type="table" w:styleId="TableGrid">
    <w:name w:val="Table Grid"/>
    <w:basedOn w:val="TableNormal"/>
    <w:uiPriority w:val="39"/>
    <w:rsid w:val="0045392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92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C263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63CF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-paragraph">
    <w:name w:val="basic-paragraph"/>
    <w:basedOn w:val="Normal"/>
    <w:rsid w:val="00706FE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66"/>
    <w:rPr>
      <w:rFonts w:ascii="Segoe UI" w:eastAsia="Times New Roman" w:hAnsi="Segoe UI" w:cs="Segoe UI"/>
      <w:sz w:val="18"/>
      <w:szCs w:val="18"/>
    </w:rPr>
  </w:style>
  <w:style w:type="paragraph" w:customStyle="1" w:styleId="KNPreamblecontracts">
    <w:name w:val="KN Preamble (contracts)"/>
    <w:basedOn w:val="ListParagraph"/>
    <w:link w:val="KNPreamblecontractsChar"/>
    <w:uiPriority w:val="6"/>
    <w:qFormat/>
    <w:rsid w:val="001113C8"/>
    <w:pPr>
      <w:keepNext/>
      <w:numPr>
        <w:numId w:val="20"/>
      </w:numPr>
      <w:spacing w:before="200" w:after="120"/>
      <w:jc w:val="both"/>
    </w:pPr>
    <w:rPr>
      <w:rFonts w:eastAsiaTheme="minorHAnsi" w:cstheme="minorBidi"/>
      <w:sz w:val="22"/>
      <w:szCs w:val="22"/>
      <w:lang w:val="en-GB"/>
    </w:rPr>
  </w:style>
  <w:style w:type="character" w:customStyle="1" w:styleId="KNPreamblecontractsChar">
    <w:name w:val="KN Preamble (contracts) Char"/>
    <w:basedOn w:val="DefaultParagraphFont"/>
    <w:link w:val="KNPreamblecontracts"/>
    <w:uiPriority w:val="6"/>
    <w:rsid w:val="001113C8"/>
    <w:rPr>
      <w:rFonts w:ascii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535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53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084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0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E76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E760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601"/>
    <w:rPr>
      <w:i/>
      <w:iCs/>
    </w:rPr>
  </w:style>
  <w:style w:type="character" w:customStyle="1" w:styleId="apple-converted-space">
    <w:name w:val="apple-converted-space"/>
    <w:basedOn w:val="DefaultParagraphFont"/>
    <w:rsid w:val="00FE7601"/>
  </w:style>
  <w:style w:type="character" w:styleId="Strong">
    <w:name w:val="Strong"/>
    <w:basedOn w:val="DefaultParagraphFont"/>
    <w:uiPriority w:val="22"/>
    <w:qFormat/>
    <w:rsid w:val="00FE760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6B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42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turizam@mto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s://mto.gov.rs/tekst/13588/javni-pozivi-2026-godina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0A9F-AE1A-4FFD-9C9B-03FCF559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ELECTUS</cp:lastModifiedBy>
  <cp:revision>4</cp:revision>
  <cp:lastPrinted>2026-03-06T09:52:00Z</cp:lastPrinted>
  <dcterms:created xsi:type="dcterms:W3CDTF">2026-03-09T11:31:00Z</dcterms:created>
  <dcterms:modified xsi:type="dcterms:W3CDTF">2026-03-10T07:06:00Z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011e44d0-28e7-455a-a296-25ce0fe13cc8</vt:lpwstr>
  </property>
</Properties>
</file>